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8A" w:rsidRDefault="0059438A" w:rsidP="00C95C7C">
      <w:pPr>
        <w:spacing w:line="520" w:lineRule="exact"/>
        <w:jc w:val="center"/>
        <w:rPr>
          <w:rFonts w:ascii="標楷體" w:eastAsia="標楷體" w:hAnsi="標楷體"/>
          <w:color w:val="000000"/>
          <w:sz w:val="40"/>
          <w:szCs w:val="44"/>
        </w:rPr>
      </w:pPr>
      <w:bookmarkStart w:id="0" w:name="_GoBack"/>
      <w:r w:rsidRPr="00832445">
        <w:rPr>
          <w:rFonts w:ascii="標楷體" w:eastAsia="標楷體" w:hAnsi="標楷體" w:hint="eastAsia"/>
          <w:color w:val="000000"/>
          <w:sz w:val="40"/>
          <w:szCs w:val="44"/>
        </w:rPr>
        <w:t>臺南市立國民中小學新生分發入學要點</w:t>
      </w:r>
    </w:p>
    <w:bookmarkEnd w:id="0"/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日府教中字第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1000357358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號令發布施行</w:t>
      </w:r>
    </w:p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4"/>
          <w:szCs w:val="44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11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1021110074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59438A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1030609116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C95C7C" w:rsidRDefault="00C95C7C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臺南市政府教育局10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5</w:t>
      </w:r>
      <w:r>
        <w:rPr>
          <w:rFonts w:ascii="標楷體" w:eastAsia="標楷體" w:hAnsi="標楷體" w:hint="eastAsia"/>
          <w:color w:val="000000"/>
          <w:sz w:val="20"/>
          <w:szCs w:val="20"/>
        </w:rPr>
        <w:t>年1月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4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日南市教課(二)字第1041235903號函修正</w:t>
      </w:r>
    </w:p>
    <w:p w:rsidR="00CE427A" w:rsidRDefault="00CE427A" w:rsidP="00CE427A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臺南市政府教育局105年12</w:t>
      </w:r>
      <w:r w:rsidR="002457CE">
        <w:rPr>
          <w:rFonts w:ascii="標楷體" w:eastAsia="標楷體" w:hAnsi="標楷體" w:hint="eastAsia"/>
          <w:color w:val="000000"/>
          <w:sz w:val="20"/>
          <w:szCs w:val="20"/>
        </w:rPr>
        <w:t>月23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日南市教課(二)字第</w:t>
      </w:r>
      <w:r w:rsidR="008C27BE" w:rsidRPr="008C27BE">
        <w:rPr>
          <w:rFonts w:ascii="標楷體" w:eastAsia="標楷體" w:hAnsi="標楷體"/>
          <w:color w:val="000000"/>
          <w:sz w:val="20"/>
          <w:szCs w:val="20"/>
        </w:rPr>
        <w:t>1051246347</w:t>
      </w:r>
      <w:r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CE427A" w:rsidRPr="00CE427A" w:rsidRDefault="00CE427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0"/>
          <w:szCs w:val="44"/>
        </w:rPr>
      </w:pP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臺南市政府教育局（以下簡稱本局）為維護國民教育階段之國民中小學（以下簡稱學校）學生受教權益及品質，期求均衡區域發展，妥善運用教育資源，特依國民教育法第四條第二項規定訂定本要點。</w:t>
      </w: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新生入學方式按學區劃分分發入學。</w:t>
      </w:r>
    </w:p>
    <w:p w:rsidR="0059438A" w:rsidRDefault="0059438A" w:rsidP="004E0EA9">
      <w:pPr>
        <w:tabs>
          <w:tab w:val="num" w:pos="720"/>
        </w:tabs>
        <w:spacing w:line="520" w:lineRule="exact"/>
        <w:ind w:leftChars="290" w:left="696"/>
        <w:jc w:val="both"/>
        <w:rPr>
          <w:rFonts w:ascii="標楷體" w:eastAsia="標楷體" w:hAnsi="標楷體"/>
          <w:sz w:val="28"/>
        </w:rPr>
      </w:pPr>
      <w:r w:rsidRPr="007A26B2">
        <w:rPr>
          <w:rFonts w:ascii="標楷體" w:eastAsia="標楷體" w:hAnsi="標楷體" w:hint="eastAsia"/>
          <w:sz w:val="28"/>
        </w:rPr>
        <w:t>學區劃分由本局依據臺南市</w:t>
      </w:r>
      <w:r>
        <w:rPr>
          <w:rFonts w:ascii="標楷體" w:eastAsia="標楷體" w:hAnsi="標楷體" w:hint="eastAsia"/>
          <w:sz w:val="28"/>
        </w:rPr>
        <w:t>（以下簡稱本市）</w:t>
      </w:r>
      <w:r w:rsidRPr="007A26B2">
        <w:rPr>
          <w:rFonts w:ascii="標楷體" w:eastAsia="標楷體" w:hAnsi="標楷體" w:hint="eastAsia"/>
          <w:sz w:val="28"/>
        </w:rPr>
        <w:t>人口、交通、社區、文化環境、行政區域及學校分布情形，分為下列二種：</w:t>
      </w:r>
    </w:p>
    <w:p w:rsidR="0059438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基本學區：某一區或里、鄰為一校之專屬學區。</w:t>
      </w:r>
    </w:p>
    <w:p w:rsidR="0059438A" w:rsidRPr="00616AE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共同學區：某一區或里、鄰同時為兩校以上之學區。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經本局認定符合下列情形之一者，為總量管制學校：</w:t>
      </w:r>
    </w:p>
    <w:p w:rsidR="0059438A" w:rsidRPr="00431C30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依本局核定班級數（校舍使用量）、每班學生數招收已滿額。</w:t>
      </w:r>
    </w:p>
    <w:p w:rsidR="0059438A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學校校舍使用已飽和，且無適當校地可供增建。</w:t>
      </w:r>
    </w:p>
    <w:p w:rsidR="0059438A" w:rsidRPr="009406B2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特殊情形經本局核定。</w:t>
      </w:r>
    </w:p>
    <w:p w:rsidR="0059438A" w:rsidRDefault="00080C43" w:rsidP="004E0EA9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9438A" w:rsidRPr="007A26B2">
        <w:rPr>
          <w:rFonts w:ascii="標楷體" w:eastAsia="標楷體" w:hAnsi="標楷體" w:hint="eastAsia"/>
          <w:color w:val="000000"/>
          <w:sz w:val="28"/>
          <w:szCs w:val="28"/>
        </w:rPr>
        <w:t>總量管制學校增建教室或學生數減少時，得解除總量管制。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總量管制學校應依下列原則擬定新生入學作業辦法</w:t>
      </w:r>
      <w:r w:rsidRPr="00616AEA">
        <w:rPr>
          <w:rFonts w:ascii="標楷體" w:eastAsia="標楷體" w:hAnsi="標楷體" w:hint="eastAsia"/>
          <w:sz w:val="28"/>
          <w:szCs w:val="28"/>
        </w:rPr>
        <w:t>並制訂管制順位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辦理招收：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校編制內教職員工子女優</w:t>
      </w:r>
      <w:r w:rsidRPr="00616AEA">
        <w:rPr>
          <w:rFonts w:ascii="標楷體" w:eastAsia="標楷體" w:hAnsi="標楷體" w:hint="eastAsia"/>
          <w:sz w:val="28"/>
          <w:szCs w:val="28"/>
        </w:rPr>
        <w:t>待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入學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須設籍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有兄姐就讀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校之學區新生優先入學。</w:t>
      </w:r>
    </w:p>
    <w:p w:rsidR="0059438A" w:rsidRPr="00616AE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先招收基本學區之新生，有賸餘名額，再招收共同學區之新生入學。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總量管制學校依</w:t>
      </w:r>
      <w:r w:rsidRPr="00616AEA">
        <w:rPr>
          <w:rFonts w:ascii="標楷體" w:eastAsia="標楷體" w:hAnsi="標楷體" w:hint="eastAsia"/>
          <w:sz w:val="28"/>
          <w:szCs w:val="28"/>
        </w:rPr>
        <w:t>前項所訂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管制順位招生，若該順位額滿，則依設籍先後，設籍時間相同者，以公開抽籤方式排定順序。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總量管制學校應成立新生入學審查委員會，由學校校長、相關處室主任組長、教師代表及家長會代表等五人至九人組成，專責處理新生入學事宜。</w:t>
      </w:r>
    </w:p>
    <w:p w:rsidR="0059438A" w:rsidRPr="007A26B2" w:rsidRDefault="00367995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108CC">
        <w:rPr>
          <w:rFonts w:ascii="標楷體" w:eastAsia="標楷體" w:hAnsi="標楷體" w:hint="eastAsia"/>
          <w:sz w:val="28"/>
          <w:szCs w:val="28"/>
        </w:rPr>
        <w:t>就讀總量管制學校之學生須全戶設籍於該校學區內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108CC">
        <w:rPr>
          <w:rFonts w:ascii="標楷體" w:eastAsia="標楷體" w:hAnsi="標楷體" w:hint="eastAsia"/>
          <w:color w:val="000000"/>
          <w:sz w:val="28"/>
          <w:szCs w:val="28"/>
        </w:rPr>
        <w:t>新生除攜帶當年</w:t>
      </w:r>
      <w:r w:rsidRPr="000108C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度入學通知單及戶口名簿外，應另持有下列文件之一者以證明有居住事實：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自有房屋所有權狀。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法院公證之房屋租賃契約證明。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公家宿舍配住證明。</w:t>
      </w:r>
    </w:p>
    <w:p w:rsidR="0059438A" w:rsidRPr="00A7418F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經學校新生入學審查委員會查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616AEA">
        <w:rPr>
          <w:rFonts w:ascii="標楷體" w:eastAsia="標楷體" w:hAnsi="標楷體" w:hint="eastAsia"/>
          <w:sz w:val="28"/>
          <w:szCs w:val="28"/>
        </w:rPr>
        <w:t>登記日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確有居住事實之證明文件。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前項所稱全戶，指與父或母或直系尊親屬或監護人居住於同戶籍者。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總量管制學校招生採登記制，並於登記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616AEA">
        <w:rPr>
          <w:rFonts w:ascii="標楷體" w:eastAsia="標楷體" w:hAnsi="標楷體" w:hint="eastAsia"/>
          <w:sz w:val="28"/>
          <w:szCs w:val="28"/>
        </w:rPr>
        <w:t>天後公告錄取名單，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因人數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額滿未能錄取之新生，應由學校主動輔導聯繫，並依家長意願改分發至鄰近未實施總量管制之學校就讀，得不受現行學區之限制。</w:t>
      </w:r>
    </w:p>
    <w:p w:rsidR="0059438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一般入學及自由入學類型學校招生採報到制，報到即錄取。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新生之父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母或監護人應於新生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日持當年度入學通知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及戶口名簿至學校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；未收到入學通知書者，應持戶口名簿至學校，由學校核對分發名冊及學區無誤後受理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4E0143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本市指定所屬公立高級中等以下學校辦理學校型態實驗教育者，指定學校學區範圍為原有基本學區，並列為自由入學類型學校，倘招收學生人數超過核定之班級學生數時，則比照總量管制學校招生原則辦理。</w:t>
      </w:r>
    </w:p>
    <w:p w:rsidR="004E0143" w:rsidRDefault="004E0143" w:rsidP="004E0143">
      <w:pPr>
        <w:spacing w:line="52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學區內學生</w:t>
      </w:r>
      <w:r w:rsidR="00570B3A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無就讀意願時，</w:t>
      </w:r>
      <w:r w:rsidR="00570B3A">
        <w:rPr>
          <w:rFonts w:ascii="標楷體" w:eastAsia="標楷體" w:hAnsi="標楷體" w:hint="eastAsia"/>
          <w:sz w:val="28"/>
          <w:szCs w:val="28"/>
        </w:rPr>
        <w:t>應由學校主動輔導聯繫，並</w:t>
      </w:r>
      <w:r>
        <w:rPr>
          <w:rFonts w:ascii="標楷體" w:eastAsia="標楷體" w:hAnsi="標楷體" w:hint="eastAsia"/>
          <w:sz w:val="28"/>
          <w:szCs w:val="28"/>
        </w:rPr>
        <w:t>依家長意願改分發至鄰近未實施總量管制之學校就讀，得不受現行學區之限制。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本市一般入學及自由入學類型學校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教職員工及約聘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僱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人員子女，可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隨父母就讀其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服務學校。</w:t>
      </w:r>
    </w:p>
    <w:p w:rsidR="0059438A" w:rsidRPr="007A26B2" w:rsidRDefault="0059438A" w:rsidP="004E0EA9">
      <w:pPr>
        <w:numPr>
          <w:ilvl w:val="0"/>
          <w:numId w:val="2"/>
        </w:numPr>
        <w:tabs>
          <w:tab w:val="clear" w:pos="720"/>
        </w:tabs>
        <w:spacing w:line="520" w:lineRule="exact"/>
        <w:ind w:left="854" w:hanging="85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依特殊教育法鑑定安置之身心障礙學生、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資優鑑定學生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依藝術教育法或國民體育法設立之特殊才能班學生，及其他法令規定成立專班學生，不受本要點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學區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限制</w:t>
      </w:r>
      <w:r w:rsidR="002E0D7F">
        <w:rPr>
          <w:rFonts w:ascii="標楷體" w:eastAsia="標楷體" w:hAnsi="標楷體" w:hint="eastAsia"/>
          <w:color w:val="000000"/>
          <w:sz w:val="28"/>
          <w:szCs w:val="28"/>
        </w:rPr>
        <w:t>，惟仍需遵守特殊教育法第十條第二項規定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616AEA" w:rsidRDefault="0059438A" w:rsidP="004E0EA9">
      <w:pPr>
        <w:spacing w:line="520" w:lineRule="exact"/>
        <w:ind w:left="854"/>
        <w:jc w:val="both"/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前項身心障礙學生之</w:t>
      </w:r>
      <w:r w:rsidRPr="00916B2E">
        <w:rPr>
          <w:rFonts w:ascii="標楷體" w:eastAsia="標楷體" w:hAnsi="標楷體" w:hint="eastAsia"/>
          <w:color w:val="000000"/>
          <w:sz w:val="28"/>
          <w:szCs w:val="28"/>
        </w:rPr>
        <w:t>兄弟姊妹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得申請至同一學校就讀。</w:t>
      </w:r>
    </w:p>
    <w:sectPr w:rsidR="0059438A" w:rsidRPr="00616AEA" w:rsidSect="00494F9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A4" w:rsidRDefault="006F0DA4" w:rsidP="004E0143">
      <w:r>
        <w:separator/>
      </w:r>
    </w:p>
  </w:endnote>
  <w:endnote w:type="continuationSeparator" w:id="0">
    <w:p w:rsidR="006F0DA4" w:rsidRDefault="006F0DA4" w:rsidP="004E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A4" w:rsidRDefault="006F0DA4" w:rsidP="004E0143">
      <w:r>
        <w:separator/>
      </w:r>
    </w:p>
  </w:footnote>
  <w:footnote w:type="continuationSeparator" w:id="0">
    <w:p w:rsidR="006F0DA4" w:rsidRDefault="006F0DA4" w:rsidP="004E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CCA"/>
    <w:multiLevelType w:val="hybridMultilevel"/>
    <w:tmpl w:val="BA1EAC10"/>
    <w:lvl w:ilvl="0" w:tplc="FD9627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6A31C72"/>
    <w:multiLevelType w:val="hybridMultilevel"/>
    <w:tmpl w:val="DF02FA88"/>
    <w:lvl w:ilvl="0" w:tplc="2F24038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8007339"/>
    <w:multiLevelType w:val="hybridMultilevel"/>
    <w:tmpl w:val="74BE2DE8"/>
    <w:lvl w:ilvl="0" w:tplc="FD96279E">
      <w:start w:val="1"/>
      <w:numFmt w:val="taiwaneseCountingThousand"/>
      <w:lvlText w:val="(%1)"/>
      <w:lvlJc w:val="left"/>
      <w:pPr>
        <w:ind w:left="105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18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 w15:restartNumberingAfterBreak="0">
    <w:nsid w:val="5C7B3272"/>
    <w:multiLevelType w:val="hybridMultilevel"/>
    <w:tmpl w:val="FEC80C78"/>
    <w:lvl w:ilvl="0" w:tplc="687028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01002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6870288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B7356FC"/>
    <w:multiLevelType w:val="hybridMultilevel"/>
    <w:tmpl w:val="5188307A"/>
    <w:lvl w:ilvl="0" w:tplc="FD96279E">
      <w:start w:val="1"/>
      <w:numFmt w:val="taiwaneseCountingThousand"/>
      <w:lvlText w:val="(%1)"/>
      <w:lvlJc w:val="left"/>
      <w:pPr>
        <w:ind w:left="1042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522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5" w15:restartNumberingAfterBreak="0">
    <w:nsid w:val="6FAF49CC"/>
    <w:multiLevelType w:val="hybridMultilevel"/>
    <w:tmpl w:val="4D08C448"/>
    <w:lvl w:ilvl="0" w:tplc="FD96279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04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EA"/>
    <w:rsid w:val="00024712"/>
    <w:rsid w:val="00080C43"/>
    <w:rsid w:val="000F3F23"/>
    <w:rsid w:val="00122B35"/>
    <w:rsid w:val="00143C77"/>
    <w:rsid w:val="00193B5B"/>
    <w:rsid w:val="001A729D"/>
    <w:rsid w:val="002457CE"/>
    <w:rsid w:val="002E0D7F"/>
    <w:rsid w:val="002E571D"/>
    <w:rsid w:val="003549C5"/>
    <w:rsid w:val="00367995"/>
    <w:rsid w:val="00431C30"/>
    <w:rsid w:val="00494F97"/>
    <w:rsid w:val="004C23BC"/>
    <w:rsid w:val="004D7D9D"/>
    <w:rsid w:val="004E0143"/>
    <w:rsid w:val="004E0EA9"/>
    <w:rsid w:val="004E4D3C"/>
    <w:rsid w:val="00544364"/>
    <w:rsid w:val="00570B3A"/>
    <w:rsid w:val="0059438A"/>
    <w:rsid w:val="005D6834"/>
    <w:rsid w:val="006054B1"/>
    <w:rsid w:val="00616AEA"/>
    <w:rsid w:val="006971B4"/>
    <w:rsid w:val="006F0DA4"/>
    <w:rsid w:val="00754D19"/>
    <w:rsid w:val="00774005"/>
    <w:rsid w:val="00777732"/>
    <w:rsid w:val="007A26B2"/>
    <w:rsid w:val="00832445"/>
    <w:rsid w:val="008B1393"/>
    <w:rsid w:val="008C27BE"/>
    <w:rsid w:val="00916B2E"/>
    <w:rsid w:val="00932829"/>
    <w:rsid w:val="009406B2"/>
    <w:rsid w:val="0096303C"/>
    <w:rsid w:val="009A522B"/>
    <w:rsid w:val="00A44D26"/>
    <w:rsid w:val="00A7418F"/>
    <w:rsid w:val="00AA3CB6"/>
    <w:rsid w:val="00AA63E2"/>
    <w:rsid w:val="00AC1C57"/>
    <w:rsid w:val="00B53BFE"/>
    <w:rsid w:val="00B56339"/>
    <w:rsid w:val="00B65ACD"/>
    <w:rsid w:val="00BB4267"/>
    <w:rsid w:val="00C6444F"/>
    <w:rsid w:val="00C71010"/>
    <w:rsid w:val="00C95C7C"/>
    <w:rsid w:val="00CA3DB5"/>
    <w:rsid w:val="00CE427A"/>
    <w:rsid w:val="00D74AB1"/>
    <w:rsid w:val="00E76654"/>
    <w:rsid w:val="00EE4D51"/>
    <w:rsid w:val="00F028C4"/>
    <w:rsid w:val="00F10B8E"/>
    <w:rsid w:val="00F1232F"/>
    <w:rsid w:val="00F27D01"/>
    <w:rsid w:val="00FC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438FFE66-9FDF-4078-8072-1DD6D8D4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E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AE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2E571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2E571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E0143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E014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</Words>
  <Characters>1220</Characters>
  <Application>Microsoft Office Word</Application>
  <DocSecurity>4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cp:lastPrinted>2015-12-31T10:39:00Z</cp:lastPrinted>
  <dcterms:created xsi:type="dcterms:W3CDTF">2016-12-29T08:42:00Z</dcterms:created>
  <dcterms:modified xsi:type="dcterms:W3CDTF">2016-12-29T08:42:00Z</dcterms:modified>
</cp:coreProperties>
</file>