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C8" w:rsidRPr="008D2D93" w:rsidRDefault="00CC5AC8" w:rsidP="003A34B2">
      <w:pPr>
        <w:spacing w:beforeLines="30" w:before="108" w:line="400" w:lineRule="exact"/>
        <w:jc w:val="center"/>
        <w:rPr>
          <w:rFonts w:ascii="標楷體" w:eastAsia="標楷體" w:hAnsi="標楷體"/>
          <w:b/>
          <w:sz w:val="32"/>
          <w:szCs w:val="32"/>
        </w:rPr>
      </w:pPr>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w:t>
      </w:r>
      <w:bookmarkStart w:id="0" w:name="_GoBack"/>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bookmarkEnd w:id="0"/>
      <w:r w:rsidRPr="008D2D93">
        <w:rPr>
          <w:rFonts w:ascii="標楷體" w:eastAsia="標楷體" w:hAnsi="標楷體" w:cs="新細明體" w:hint="eastAsia"/>
          <w:b/>
          <w:kern w:val="0"/>
          <w:sz w:val="32"/>
          <w:szCs w:val="32"/>
        </w:rPr>
        <w:t>」</w:t>
      </w:r>
      <w:r w:rsidRPr="008D2D93">
        <w:rPr>
          <w:rFonts w:ascii="標楷體" w:eastAsia="標楷體" w:hAnsi="標楷體" w:cs="新細明體" w:hint="eastAsia"/>
          <w:b/>
          <w:sz w:val="32"/>
          <w:szCs w:val="32"/>
        </w:rPr>
        <w:t>實施計畫</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Default="00CC5AC8" w:rsidP="008D2D93">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p>
    <w:p w:rsidR="00CC5AC8" w:rsidRPr="008D2D93" w:rsidRDefault="00CC5AC8" w:rsidP="008D2D93">
      <w:pPr>
        <w:spacing w:line="400" w:lineRule="exact"/>
        <w:ind w:leftChars="235" w:left="564" w:firstLineChars="50" w:firstLine="120"/>
        <w:rPr>
          <w:rFonts w:ascii="標楷體" w:eastAsia="標楷體" w:hAnsi="標楷體" w:cs="新細明體"/>
          <w:kern w:val="0"/>
        </w:rPr>
      </w:pPr>
      <w:r w:rsidRPr="008D2D93">
        <w:rPr>
          <w:rFonts w:ascii="標楷體" w:eastAsia="標楷體" w:hAnsi="標楷體" w:cs="新細明體" w:hint="eastAsia"/>
          <w:kern w:val="0"/>
        </w:rPr>
        <w:t>教師專業成長，提升教學品質。</w:t>
      </w:r>
    </w:p>
    <w:p w:rsidR="00CC5AC8" w:rsidRDefault="00CC5AC8" w:rsidP="008D2D93">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w:t>
      </w:r>
    </w:p>
    <w:p w:rsidR="00CC5AC8" w:rsidRPr="008D2D93" w:rsidRDefault="00CC5AC8" w:rsidP="008D2D93">
      <w:pPr>
        <w:spacing w:line="400" w:lineRule="exact"/>
        <w:ind w:firstLineChars="300" w:firstLine="720"/>
        <w:rPr>
          <w:rFonts w:ascii="標楷體" w:eastAsia="標楷體" w:hAnsi="標楷體" w:cs="新細明體"/>
          <w:kern w:val="0"/>
        </w:rPr>
      </w:pPr>
      <w:r w:rsidRPr="008D2D93">
        <w:rPr>
          <w:rFonts w:ascii="標楷體" w:eastAsia="標楷體" w:hAnsi="標楷體" w:cs="新細明體" w:hint="eastAsia"/>
          <w:kern w:val="0"/>
        </w:rPr>
        <w:t>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w:t>
      </w:r>
    </w:p>
    <w:p w:rsidR="00CC5AC8" w:rsidRPr="008D2D93" w:rsidRDefault="00CC5AC8" w:rsidP="008D2D93">
      <w:pPr>
        <w:spacing w:line="400" w:lineRule="exact"/>
        <w:rPr>
          <w:rFonts w:ascii="標楷體" w:eastAsia="標楷體" w:hAnsi="標楷體"/>
        </w:rPr>
      </w:pPr>
      <w:r w:rsidRPr="008D2D93">
        <w:rPr>
          <w:rFonts w:ascii="標楷體" w:eastAsia="標楷體" w:hAnsi="標楷體"/>
        </w:rPr>
        <w:t xml:space="preserve">    </w:t>
      </w:r>
      <w:r>
        <w:rPr>
          <w:rFonts w:ascii="標楷體" w:eastAsia="標楷體" w:hAnsi="標楷體"/>
        </w:rPr>
        <w:t xml:space="preserve"> </w:t>
      </w:r>
      <w:r w:rsidRPr="008D2D93">
        <w:rPr>
          <w:rFonts w:ascii="標楷體" w:eastAsia="標楷體" w:hAnsi="標楷體"/>
        </w:rPr>
        <w:t xml:space="preserve"> </w:t>
      </w:r>
      <w:r w:rsidRPr="008D2D93">
        <w:rPr>
          <w:rFonts w:ascii="標楷體" w:eastAsia="標楷體" w:hAnsi="標楷體" w:hint="eastAsia"/>
        </w:rPr>
        <w:t>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Default="00CC5AC8" w:rsidP="008D2D93">
      <w:pPr>
        <w:snapToGrid w:val="0"/>
        <w:spacing w:line="400" w:lineRule="exact"/>
        <w:ind w:left="1560" w:hangingChars="650" w:hanging="1560"/>
        <w:rPr>
          <w:rFonts w:ascii="標楷體" w:eastAsia="標楷體" w:hAnsi="標楷體" w:cs="新細明體"/>
          <w:b/>
          <w:szCs w:val="24"/>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w:t>
      </w:r>
    </w:p>
    <w:p w:rsidR="00CC5AC8" w:rsidRPr="008D2D93" w:rsidRDefault="00CC5AC8" w:rsidP="002E3E56">
      <w:pPr>
        <w:snapToGrid w:val="0"/>
        <w:spacing w:line="400" w:lineRule="exact"/>
        <w:ind w:left="1562" w:hangingChars="650" w:hanging="1562"/>
        <w:rPr>
          <w:rFonts w:ascii="標楷體" w:eastAsia="標楷體" w:hAnsi="標楷體"/>
        </w:rPr>
      </w:pPr>
      <w:r>
        <w:rPr>
          <w:rFonts w:ascii="標楷體" w:eastAsia="標楷體" w:hAnsi="標楷體" w:cs="新細明體"/>
          <w:b/>
          <w:szCs w:val="24"/>
        </w:rPr>
        <w:t xml:space="preserve">             </w:t>
      </w:r>
      <w:r w:rsidRPr="008D2D93">
        <w:rPr>
          <w:rFonts w:ascii="標楷體" w:eastAsia="標楷體" w:hAnsi="標楷體" w:cs="新細明體" w:hint="eastAsia"/>
          <w:b/>
          <w:szCs w:val="24"/>
        </w:rPr>
        <w:t>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lastRenderedPageBreak/>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firstRow="1" w:lastRow="0" w:firstColumn="1" w:lastColumn="0" w:noHBand="0" w:noVBand="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a7"/>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a7"/>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a7"/>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EB" w:rsidRDefault="000754EB" w:rsidP="00E85FAD">
      <w:r>
        <w:separator/>
      </w:r>
    </w:p>
  </w:endnote>
  <w:endnote w:type="continuationSeparator" w:id="0">
    <w:p w:rsidR="000754EB" w:rsidRDefault="000754EB" w:rsidP="00E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EB" w:rsidRDefault="000754EB" w:rsidP="00E85FAD">
      <w:r>
        <w:separator/>
      </w:r>
    </w:p>
  </w:footnote>
  <w:footnote w:type="continuationSeparator" w:id="0">
    <w:p w:rsidR="000754EB" w:rsidRDefault="000754EB" w:rsidP="00E8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nsid w:val="0EA91D7B"/>
    <w:multiLevelType w:val="hybridMultilevel"/>
    <w:tmpl w:val="3EEEB3B8"/>
    <w:lvl w:ilvl="0" w:tplc="66A68C34">
      <w:numFmt w:val="bullet"/>
      <w:lvlText w:val="□"/>
      <w:lvlJc w:val="left"/>
      <w:pPr>
        <w:tabs>
          <w:tab w:val="num" w:pos="360"/>
        </w:tabs>
        <w:ind w:left="360" w:hanging="360"/>
      </w:pPr>
      <w:rPr>
        <w:rFonts w:ascii="標楷體" w:eastAsia="Times New Roman"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783FFC"/>
    <w:multiLevelType w:val="hybridMultilevel"/>
    <w:tmpl w:val="87880C68"/>
    <w:lvl w:ilvl="0" w:tplc="B78CFD06">
      <w:start w:val="8"/>
      <w:numFmt w:val="bullet"/>
      <w:lvlText w:val="■"/>
      <w:lvlJc w:val="left"/>
      <w:pPr>
        <w:ind w:left="360" w:hanging="360"/>
      </w:pPr>
      <w:rPr>
        <w:rFonts w:ascii="細明體" w:eastAsia="Times New Roman"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59"/>
    <w:rsid w:val="000067E8"/>
    <w:rsid w:val="00013476"/>
    <w:rsid w:val="0002582C"/>
    <w:rsid w:val="000258D1"/>
    <w:rsid w:val="00026C92"/>
    <w:rsid w:val="00034F02"/>
    <w:rsid w:val="0005115D"/>
    <w:rsid w:val="00051A01"/>
    <w:rsid w:val="000754EB"/>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7E3F"/>
    <w:rsid w:val="004761C5"/>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05770"/>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81D4A"/>
    <w:rsid w:val="00E85FAD"/>
    <w:rsid w:val="00E9194B"/>
    <w:rsid w:val="00EB273D"/>
    <w:rsid w:val="00EB2E3E"/>
    <w:rsid w:val="00EC1177"/>
    <w:rsid w:val="00ED03D4"/>
    <w:rsid w:val="00ED0428"/>
    <w:rsid w:val="00ED6B33"/>
    <w:rsid w:val="00EE00E9"/>
    <w:rsid w:val="00EF0ED5"/>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06FC678B-15A6-4BBE-A345-B325948B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清華大學</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台南市教師研習營</dc:title>
  <dc:subject/>
  <dc:creator>理學院物理學系邱昶幃</dc:creator>
  <cp:keywords/>
  <dc:description/>
  <cp:lastModifiedBy>tea</cp:lastModifiedBy>
  <cp:revision>2</cp:revision>
  <cp:lastPrinted>2016-09-01T00:49:00Z</cp:lastPrinted>
  <dcterms:created xsi:type="dcterms:W3CDTF">2016-11-21T00:53:00Z</dcterms:created>
  <dcterms:modified xsi:type="dcterms:W3CDTF">2016-11-21T00:53:00Z</dcterms:modified>
</cp:coreProperties>
</file>