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76" w:rsidRPr="00532A76" w:rsidRDefault="00532A76" w:rsidP="00D93E64">
      <w:pPr>
        <w:pStyle w:val="a3"/>
        <w:spacing w:before="85" w:line="182" w:lineRule="auto"/>
        <w:ind w:right="1008"/>
        <w:jc w:val="center"/>
        <w:rPr>
          <w:sz w:val="24"/>
        </w:rPr>
      </w:pPr>
      <w:r w:rsidRPr="00532A76">
        <w:rPr>
          <w:rFonts w:ascii="微軟正黑體" w:eastAsia="微軟正黑體" w:hAnsi="微軟正黑體" w:cs="微軟正黑體" w:hint="eastAsia"/>
          <w:sz w:val="24"/>
        </w:rPr>
        <w:t>臺南市永康國小因應因應新型冠狀病毒</w:t>
      </w:r>
      <w:r w:rsidRPr="00532A76">
        <w:rPr>
          <w:sz w:val="24"/>
        </w:rPr>
        <w:t>COVID-19</w:t>
      </w:r>
      <w:r w:rsidRPr="00532A76">
        <w:rPr>
          <w:rFonts w:ascii="微軟正黑體" w:eastAsia="微軟正黑體" w:hAnsi="微軟正黑體" w:cs="微軟正黑體" w:hint="eastAsia"/>
          <w:sz w:val="24"/>
        </w:rPr>
        <w:t>（武漢肺炎）復課後補課計畫表</w:t>
      </w:r>
    </w:p>
    <w:p w:rsidR="00532A76" w:rsidRDefault="00532A76" w:rsidP="00532A76">
      <w:pPr>
        <w:tabs>
          <w:tab w:val="left" w:pos="2835"/>
        </w:tabs>
        <w:spacing w:before="90" w:line="383" w:lineRule="exact"/>
        <w:ind w:left="672"/>
        <w:rPr>
          <w:rFonts w:ascii="WenQuanYi Zen Hei Mono" w:eastAsia="WenQuanYi Zen Hei Mono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一、實施年級</w:t>
      </w:r>
      <w:r>
        <w:rPr>
          <w:rFonts w:ascii="WenQuanYi Zen Hei Mono" w:eastAsia="WenQuanYi Zen Hei Mono" w:hint="eastAsia"/>
          <w:sz w:val="24"/>
        </w:rPr>
        <w:t>:</w:t>
      </w:r>
      <w:r>
        <w:rPr>
          <w:rFonts w:ascii="WenQuanYi Zen Hei Mono" w:eastAsia="WenQuanYi Zen Hei Mono" w:hint="eastAsia"/>
          <w:sz w:val="24"/>
          <w:u w:val="single"/>
        </w:rPr>
        <w:t xml:space="preserve"> </w:t>
      </w:r>
      <w:r>
        <w:rPr>
          <w:rFonts w:ascii="WenQuanYi Zen Hei Mono" w:eastAsia="WenQuanYi Zen Hei Mono" w:hint="eastAsia"/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年級</w:t>
      </w:r>
      <w:r>
        <w:rPr>
          <w:rFonts w:ascii="WenQuanYi Zen Hei Mono" w:eastAsia="WenQuanYi Zen Hei Mono" w:hint="eastAsia"/>
          <w:sz w:val="24"/>
        </w:rPr>
        <w:t xml:space="preserve"> (</w:t>
      </w:r>
      <w:r>
        <w:rPr>
          <w:rFonts w:ascii="微軟正黑體" w:eastAsia="微軟正黑體" w:hAnsi="微軟正黑體" w:cs="微軟正黑體" w:hint="eastAsia"/>
          <w:sz w:val="24"/>
        </w:rPr>
        <w:t>一個年級填一張</w:t>
      </w:r>
      <w:r>
        <w:rPr>
          <w:rFonts w:ascii="WenQuanYi Zen Hei Mono" w:eastAsia="WenQuanYi Zen Hei Mono" w:hint="eastAsia"/>
          <w:sz w:val="24"/>
        </w:rPr>
        <w:t>)</w:t>
      </w:r>
    </w:p>
    <w:p w:rsidR="00532A76" w:rsidRDefault="00532A76" w:rsidP="00532A76">
      <w:pPr>
        <w:tabs>
          <w:tab w:val="left" w:pos="3556"/>
          <w:tab w:val="left" w:pos="9066"/>
        </w:tabs>
        <w:spacing w:before="2" w:line="196" w:lineRule="auto"/>
        <w:ind w:left="672" w:right="1938"/>
        <w:rPr>
          <w:sz w:val="24"/>
          <w:u w:val="single"/>
        </w:rPr>
      </w:pPr>
      <w:r>
        <w:rPr>
          <w:rFonts w:ascii="微軟正黑體" w:eastAsia="微軟正黑體" w:hAnsi="微軟正黑體" w:cs="微軟正黑體" w:hint="eastAsia"/>
          <w:sz w:val="24"/>
        </w:rPr>
        <w:t>二、實施班級</w:t>
      </w:r>
      <w:r>
        <w:rPr>
          <w:rFonts w:ascii="WenQuanYi Zen Hei Mono" w:eastAsia="WenQuanYi Zen Hei Mono" w:hAnsi="WenQuanYi Zen Hei Mono" w:hint="eastAsia"/>
          <w:sz w:val="24"/>
        </w:rPr>
        <w:t>:</w:t>
      </w:r>
      <w:r>
        <w:rPr>
          <w:sz w:val="24"/>
        </w:rPr>
        <w:t>□</w:t>
      </w:r>
      <w:r>
        <w:rPr>
          <w:rFonts w:ascii="微軟正黑體" w:eastAsia="微軟正黑體" w:hAnsi="微軟正黑體" w:cs="微軟正黑體" w:hint="eastAsia"/>
          <w:sz w:val="24"/>
        </w:rPr>
        <w:t>全</w:t>
      </w:r>
      <w:r>
        <w:rPr>
          <w:rFonts w:ascii="微軟正黑體" w:eastAsia="微軟正黑體" w:hAnsi="微軟正黑體" w:cs="微軟正黑體" w:hint="eastAsia"/>
          <w:spacing w:val="-3"/>
          <w:sz w:val="24"/>
        </w:rPr>
        <w:t>年</w:t>
      </w:r>
      <w:r>
        <w:rPr>
          <w:rFonts w:ascii="微軟正黑體" w:eastAsia="微軟正黑體" w:hAnsi="微軟正黑體" w:cs="微軟正黑體" w:hint="eastAsia"/>
          <w:sz w:val="24"/>
        </w:rPr>
        <w:t>級</w:t>
      </w:r>
      <w:r>
        <w:rPr>
          <w:sz w:val="24"/>
        </w:rPr>
        <w:tab/>
        <w:t>□</w:t>
      </w:r>
      <w:r>
        <w:rPr>
          <w:rFonts w:ascii="微軟正黑體" w:eastAsia="微軟正黑體" w:hAnsi="微軟正黑體" w:cs="微軟正黑體" w:hint="eastAsia"/>
          <w:sz w:val="24"/>
        </w:rPr>
        <w:t>個別班級分別為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</w:p>
    <w:p w:rsidR="00532A76" w:rsidRDefault="00532A76" w:rsidP="00532A76">
      <w:pPr>
        <w:tabs>
          <w:tab w:val="left" w:pos="3556"/>
          <w:tab w:val="left" w:pos="9066"/>
        </w:tabs>
        <w:spacing w:before="2" w:line="196" w:lineRule="auto"/>
        <w:ind w:left="672" w:right="1938"/>
        <w:rPr>
          <w:rFonts w:ascii="WenQuanYi Zen Hei Mono" w:eastAsia="WenQuanYi Zen Hei Mono" w:hAnsi="WenQuanYi Zen Hei Mono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三、課程類別：</w:t>
      </w:r>
    </w:p>
    <w:p w:rsidR="00532A76" w:rsidRDefault="00532A76" w:rsidP="00532A76">
      <w:pPr>
        <w:tabs>
          <w:tab w:val="left" w:pos="2777"/>
          <w:tab w:val="left" w:pos="4338"/>
          <w:tab w:val="left" w:pos="5658"/>
          <w:tab w:val="left" w:pos="6978"/>
        </w:tabs>
        <w:spacing w:line="344" w:lineRule="exact"/>
        <w:ind w:left="1098"/>
        <w:rPr>
          <w:sz w:val="24"/>
        </w:rPr>
      </w:pPr>
      <w:r>
        <w:rPr>
          <w:sz w:val="24"/>
        </w:rPr>
        <w:t>1.□</w:t>
      </w:r>
      <w:r>
        <w:rPr>
          <w:rFonts w:ascii="微軟正黑體" w:eastAsia="微軟正黑體" w:hAnsi="微軟正黑體" w:cs="微軟正黑體" w:hint="eastAsia"/>
          <w:sz w:val="24"/>
        </w:rPr>
        <w:t>國語文</w:t>
      </w:r>
      <w:r>
        <w:rPr>
          <w:sz w:val="24"/>
        </w:rPr>
        <w:tab/>
        <w:t>2.□</w:t>
      </w:r>
      <w:r>
        <w:rPr>
          <w:rFonts w:ascii="微軟正黑體" w:eastAsia="微軟正黑體" w:hAnsi="微軟正黑體" w:cs="微軟正黑體" w:hint="eastAsia"/>
          <w:sz w:val="24"/>
        </w:rPr>
        <w:t>英語文</w:t>
      </w:r>
      <w:r>
        <w:rPr>
          <w:sz w:val="24"/>
        </w:rPr>
        <w:tab/>
        <w:t>3.□</w:t>
      </w:r>
      <w:r>
        <w:rPr>
          <w:rFonts w:ascii="微軟正黑體" w:eastAsia="微軟正黑體" w:hAnsi="微軟正黑體" w:cs="微軟正黑體" w:hint="eastAsia"/>
          <w:sz w:val="24"/>
        </w:rPr>
        <w:t>數學</w:t>
      </w:r>
      <w:r>
        <w:rPr>
          <w:sz w:val="24"/>
        </w:rPr>
        <w:tab/>
        <w:t>4.□</w:t>
      </w:r>
      <w:r>
        <w:rPr>
          <w:rFonts w:ascii="微軟正黑體" w:eastAsia="微軟正黑體" w:hAnsi="微軟正黑體" w:cs="微軟正黑體" w:hint="eastAsia"/>
          <w:sz w:val="24"/>
        </w:rPr>
        <w:t>社會</w:t>
      </w:r>
      <w:r>
        <w:rPr>
          <w:sz w:val="24"/>
        </w:rPr>
        <w:tab/>
        <w:t>5.□</w:t>
      </w:r>
      <w:r>
        <w:rPr>
          <w:rFonts w:ascii="微軟正黑體" w:eastAsia="微軟正黑體" w:hAnsi="微軟正黑體" w:cs="微軟正黑體" w:hint="eastAsia"/>
          <w:sz w:val="24"/>
        </w:rPr>
        <w:t>自然科學</w:t>
      </w:r>
      <w:r>
        <w:rPr>
          <w:sz w:val="24"/>
        </w:rPr>
        <w:t>(</w:t>
      </w:r>
      <w:r>
        <w:rPr>
          <w:rFonts w:ascii="微軟正黑體" w:eastAsia="微軟正黑體" w:hAnsi="微軟正黑體" w:cs="微軟正黑體" w:hint="eastAsia"/>
          <w:sz w:val="24"/>
        </w:rPr>
        <w:t>自然與生活科技</w:t>
      </w:r>
      <w:r>
        <w:rPr>
          <w:sz w:val="24"/>
        </w:rPr>
        <w:t>)</w:t>
      </w:r>
    </w:p>
    <w:p w:rsidR="00532A76" w:rsidRDefault="00532A76" w:rsidP="00532A76">
      <w:pPr>
        <w:tabs>
          <w:tab w:val="left" w:pos="3738"/>
          <w:tab w:val="left" w:pos="5658"/>
          <w:tab w:val="left" w:pos="6978"/>
        </w:tabs>
        <w:spacing w:line="373" w:lineRule="exact"/>
        <w:ind w:left="1098"/>
        <w:rPr>
          <w:sz w:val="24"/>
        </w:rPr>
      </w:pPr>
      <w:r>
        <w:rPr>
          <w:sz w:val="24"/>
        </w:rPr>
        <w:t>6.□</w:t>
      </w:r>
      <w:r>
        <w:rPr>
          <w:rFonts w:ascii="微軟正黑體" w:eastAsia="微軟正黑體" w:hAnsi="微軟正黑體" w:cs="微軟正黑體" w:hint="eastAsia"/>
          <w:sz w:val="24"/>
        </w:rPr>
        <w:t>藝術</w:t>
      </w:r>
      <w:r>
        <w:rPr>
          <w:sz w:val="24"/>
        </w:rPr>
        <w:t>(</w:t>
      </w:r>
      <w:r>
        <w:rPr>
          <w:rFonts w:ascii="微軟正黑體" w:eastAsia="微軟正黑體" w:hAnsi="微軟正黑體" w:cs="微軟正黑體" w:hint="eastAsia"/>
          <w:sz w:val="24"/>
        </w:rPr>
        <w:t>藝術與人文</w:t>
      </w:r>
      <w:r>
        <w:rPr>
          <w:sz w:val="24"/>
        </w:rPr>
        <w:t>)</w:t>
      </w:r>
      <w:r>
        <w:rPr>
          <w:sz w:val="24"/>
        </w:rPr>
        <w:tab/>
        <w:t>7.□</w:t>
      </w:r>
      <w:r>
        <w:rPr>
          <w:rFonts w:ascii="微軟正黑體" w:eastAsia="微軟正黑體" w:hAnsi="微軟正黑體" w:cs="微軟正黑體" w:hint="eastAsia"/>
          <w:sz w:val="24"/>
        </w:rPr>
        <w:t>健康與體育</w:t>
      </w:r>
      <w:r>
        <w:rPr>
          <w:sz w:val="24"/>
        </w:rPr>
        <w:tab/>
        <w:t>8.□</w:t>
      </w:r>
      <w:r>
        <w:rPr>
          <w:rFonts w:ascii="微軟正黑體" w:eastAsia="微軟正黑體" w:hAnsi="微軟正黑體" w:cs="微軟正黑體" w:hint="eastAsia"/>
          <w:sz w:val="24"/>
        </w:rPr>
        <w:t>科技</w:t>
      </w:r>
      <w:r>
        <w:rPr>
          <w:sz w:val="24"/>
        </w:rPr>
        <w:tab/>
        <w:t>9.□</w:t>
      </w:r>
      <w:r>
        <w:rPr>
          <w:rFonts w:ascii="微軟正黑體" w:eastAsia="微軟正黑體" w:hAnsi="微軟正黑體" w:cs="微軟正黑體" w:hint="eastAsia"/>
          <w:sz w:val="24"/>
        </w:rPr>
        <w:t>綜合活動</w:t>
      </w:r>
    </w:p>
    <w:p w:rsidR="00532A76" w:rsidRDefault="00532A76" w:rsidP="00532A76">
      <w:pPr>
        <w:tabs>
          <w:tab w:val="left" w:pos="2837"/>
          <w:tab w:val="left" w:pos="3850"/>
          <w:tab w:val="left" w:pos="4931"/>
          <w:tab w:val="left" w:pos="6316"/>
          <w:tab w:val="left" w:pos="7331"/>
          <w:tab w:val="left" w:pos="8411"/>
        </w:tabs>
        <w:spacing w:before="24" w:line="177" w:lineRule="auto"/>
        <w:ind w:left="672" w:right="2047"/>
        <w:rPr>
          <w:rFonts w:ascii="微軟正黑體" w:eastAsia="微軟正黑體" w:hAnsi="微軟正黑體" w:cs="微軟正黑體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972A3" wp14:editId="03DFC942">
                <wp:simplePos x="0" y="0"/>
                <wp:positionH relativeFrom="page">
                  <wp:posOffset>390671</wp:posOffset>
                </wp:positionH>
                <wp:positionV relativeFrom="paragraph">
                  <wp:posOffset>985764</wp:posOffset>
                </wp:positionV>
                <wp:extent cx="6849110" cy="5017477"/>
                <wp:effectExtent l="0" t="0" r="889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9110" cy="5017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849"/>
                              <w:gridCol w:w="2126"/>
                              <w:gridCol w:w="851"/>
                              <w:gridCol w:w="849"/>
                              <w:gridCol w:w="1701"/>
                              <w:gridCol w:w="1133"/>
                              <w:gridCol w:w="710"/>
                              <w:gridCol w:w="1269"/>
                            </w:tblGrid>
                            <w:tr w:rsidR="00532A76">
                              <w:trPr>
                                <w:trHeight w:val="311"/>
                              </w:trPr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4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532A76" w:rsidRDefault="00532A76">
                                  <w:pPr>
                                    <w:pStyle w:val="TableParagraph"/>
                                    <w:ind w:left="39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科目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532A76" w:rsidRDefault="00532A76">
                                  <w:pPr>
                                    <w:pStyle w:val="TableParagraph"/>
                                    <w:spacing w:before="1" w:line="146" w:lineRule="auto"/>
                                    <w:ind w:left="184" w:right="17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實際停課節數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39" w:type="dxa"/>
                                  <w:gridSpan w:val="7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3821" w:right="38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補課節數</w:t>
                                  </w:r>
                                  <w:proofErr w:type="spellEnd"/>
                                </w:p>
                              </w:tc>
                            </w:tr>
                            <w:tr w:rsidR="00532A76">
                              <w:trPr>
                                <w:trHeight w:val="636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32A76" w:rsidRDefault="00532A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32A76" w:rsidRDefault="00532A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384" w:lineRule="exact"/>
                                    <w:ind w:left="76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到校實體補課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4" w:lineRule="exact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節數</w:t>
                                  </w:r>
                                  <w:proofErr w:type="spellEnd"/>
                                </w:p>
                                <w:p w:rsidR="00532A76" w:rsidRDefault="00532A76">
                                  <w:pPr>
                                    <w:pStyle w:val="TableParagraph"/>
                                    <w:spacing w:line="322" w:lineRule="exact"/>
                                    <w:ind w:left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（A）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2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1" w:lineRule="exact"/>
                                    <w:ind w:left="190" w:right="173"/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lang w:eastAsia="zh-TW"/>
                                    </w:rPr>
                                    <w:t>非到校實體補課</w:t>
                                  </w:r>
                                </w:p>
                                <w:p w:rsidR="00532A76" w:rsidRDefault="00532A76">
                                  <w:pPr>
                                    <w:pStyle w:val="TableParagraph"/>
                                    <w:spacing w:line="325" w:lineRule="exact"/>
                                    <w:ind w:left="191" w:right="173"/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lang w:eastAsia="zh-TW"/>
                                    </w:rPr>
                                    <w:t>(停課期間線上學習折抵)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63" w:line="148" w:lineRule="auto"/>
                                    <w:ind w:left="208" w:right="136" w:hanging="5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節數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(B)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361" w:lineRule="exact"/>
                                    <w:ind w:left="27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總節數</w:t>
                                  </w:r>
                                  <w:proofErr w:type="spellEnd"/>
                                </w:p>
                                <w:p w:rsidR="00532A76" w:rsidRDefault="00532A76">
                                  <w:pPr>
                                    <w:pStyle w:val="TableParagraph"/>
                                    <w:spacing w:line="255" w:lineRule="exact"/>
                                    <w:ind w:left="1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(A)+(B)=(C)</w:t>
                                  </w:r>
                                </w:p>
                              </w:tc>
                            </w:tr>
                            <w:tr w:rsidR="00532A76">
                              <w:trPr>
                                <w:trHeight w:val="858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32A76" w:rsidRDefault="00532A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32A76" w:rsidRDefault="00532A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349" w:lineRule="exact"/>
                                    <w:ind w:left="183"/>
                                  </w:pPr>
                                  <w:proofErr w:type="spellStart"/>
                                  <w:r>
                                    <w:t>補課日期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星</w:t>
                                  </w:r>
                                  <w:proofErr w:type="spellEnd"/>
                                  <w:r>
                                    <w:t>期/節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0" w:line="146" w:lineRule="auto"/>
                                    <w:ind w:left="207" w:right="189"/>
                                  </w:pPr>
                                  <w:proofErr w:type="spellStart"/>
                                  <w:r>
                                    <w:t>補課進度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4" w:line="168" w:lineRule="auto"/>
                                    <w:ind w:left="111" w:right="172" w:firstLine="81"/>
                                    <w:rPr>
                                      <w:rFonts w:ascii="WenQuanYi Zen Hei Mono" w:eastAsia="WenQuanYi Zen Hei Mono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WenQuanYi Zen Hei Mono" w:eastAsia="WenQuanYi Zen Hei Mono" w:hint="eastAsia"/>
                                      <w:lang w:eastAsia="zh-TW"/>
                                    </w:rPr>
                                    <w:t>線上學習折抵(需參考表3之</w:t>
                                  </w:r>
                                </w:p>
                                <w:p w:rsidR="00532A76" w:rsidRDefault="00532A76">
                                  <w:pPr>
                                    <w:pStyle w:val="TableParagraph"/>
                                    <w:spacing w:line="253" w:lineRule="exact"/>
                                    <w:ind w:left="111"/>
                                    <w:rPr>
                                      <w:rFonts w:ascii="WenQuanYi Zen Hei Mono" w:eastAsia="WenQuanYi Zen Hei Mo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WenQuanYi Zen Hei Mono" w:eastAsia="WenQuanYi Zen Hei Mono" w:hint="eastAsia"/>
                                    </w:rPr>
                                    <w:t>歷程後核定</w:t>
                                  </w:r>
                                  <w:proofErr w:type="spellEnd"/>
                                  <w:r>
                                    <w:rPr>
                                      <w:rFonts w:ascii="WenQuanYi Zen Hei Mono" w:eastAsia="WenQuanYi Zen Hei Mono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1" w:line="146" w:lineRule="auto"/>
                                    <w:ind w:left="330" w:right="190" w:hanging="12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評量後折抵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2A76">
                              <w:trPr>
                                <w:trHeight w:val="935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67" w:line="146" w:lineRule="auto"/>
                                    <w:ind w:left="398" w:right="146" w:hanging="24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範例：英語文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84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11" w:lineRule="exact"/>
                                    <w:ind w:left="96" w:right="87"/>
                                    <w:jc w:val="center"/>
                                    <w:rPr>
                                      <w:sz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zh-TW"/>
                                    </w:rPr>
                                    <w:t>4/1（三）早自修</w:t>
                                  </w:r>
                                </w:p>
                                <w:p w:rsidR="00532A76" w:rsidRDefault="00532A76">
                                  <w:pPr>
                                    <w:pStyle w:val="TableParagraph"/>
                                    <w:spacing w:line="234" w:lineRule="exact"/>
                                    <w:ind w:left="96" w:right="87"/>
                                    <w:jc w:val="center"/>
                                    <w:rPr>
                                      <w:sz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zh-TW"/>
                                    </w:rPr>
                                    <w:t>4/1（三）第九節</w:t>
                                  </w:r>
                                </w:p>
                                <w:p w:rsidR="00532A76" w:rsidRDefault="00532A76">
                                  <w:pPr>
                                    <w:pStyle w:val="TableParagraph"/>
                                    <w:spacing w:line="234" w:lineRule="exact"/>
                                    <w:ind w:left="98" w:right="87"/>
                                    <w:jc w:val="center"/>
                                    <w:rPr>
                                      <w:sz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zh-TW"/>
                                    </w:rPr>
                                    <w:t>4/2（四）例假日第一節</w:t>
                                  </w:r>
                                </w:p>
                                <w:p w:rsidR="00532A76" w:rsidRDefault="00532A76">
                                  <w:pPr>
                                    <w:pStyle w:val="TableParagraph"/>
                                    <w:spacing w:line="237" w:lineRule="exact"/>
                                    <w:ind w:left="98" w:right="87"/>
                                    <w:jc w:val="center"/>
                                    <w:rPr>
                                      <w:sz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zh-TW"/>
                                    </w:rPr>
                                    <w:t>4/11（六）第一節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84"/>
                                    <w:ind w:left="286" w:right="2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L4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84"/>
                                    <w:ind w:left="3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84"/>
                                    <w:ind w:left="7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84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84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before="184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32A76">
                              <w:trPr>
                                <w:trHeight w:val="31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國語文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3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7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32A76">
                              <w:trPr>
                                <w:trHeight w:val="31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英語文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2A76">
                              <w:trPr>
                                <w:trHeight w:val="314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數學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2A76">
                              <w:trPr>
                                <w:trHeight w:val="31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自然科學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2A76">
                              <w:trPr>
                                <w:trHeight w:val="31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社會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2A76">
                              <w:trPr>
                                <w:trHeight w:val="31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科技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2A76">
                              <w:trPr>
                                <w:trHeight w:val="313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健康與體育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2A76">
                              <w:trPr>
                                <w:trHeight w:val="31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綜合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2A76">
                              <w:trPr>
                                <w:trHeight w:val="31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藝術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2A76">
                              <w:trPr>
                                <w:trHeight w:val="311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生活課程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32A76">
                              <w:trPr>
                                <w:trHeight w:val="314"/>
                              </w:trPr>
                              <w:tc>
                                <w:tcPr>
                                  <w:tcW w:w="1277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spacing w:line="29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其它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532A76" w:rsidRDefault="00532A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2A76" w:rsidRDefault="00532A76" w:rsidP="00532A7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97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77.6pt;width:539.3pt;height:39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iPMngIAAJM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TK&#13;&#10;FAcYcdJCi+7poNFaDCgw1ek7lYDTXQdueoBt6LJlqrpbUXxT4OJe+IwXlPHe9R9FCXjkoIW9MVSy&#13;&#10;NTUC1ghgoB0P5xaYmAVszqMw9n04KuBs5vmLcLEwabgkma53Uun3VLTIGCmW0GMLT463So+uk4uJ&#13;&#10;xkXOmgb2SdLwZxuAOe5AcLhqzkwatm2PsRdvo20UOmEw3zqhl2XOTb4JnXnuL2bZu2yzyfyfJq4f&#13;&#10;JjUrS8pNmElCfvhnLTqJeWz+WURKNKw0cCYlJfe7TSPRkYCEc/udCnLh5j5Pw9YLuLyg5Aehtw5i&#13;&#10;J59HCyfMw5kTL7zI8fx4Hc+9MA6z/DmlW8bpv1NCfYrjWTAbZfNbbp79XnMjScs0DImGtSmOzk4k&#13;&#10;qSkpt7y0rdWENaN9UQqT/lMpoN1To61ijUhHuephNwCKkfFOlA+gXSlAWaBCmGxg1EL+wKiHKZFi&#13;&#10;9f1AJMWo+cDhGZqRMhlyMnaTQXgBV1OsMRrNjR5Hz6GTbF8D8viUuLiBN1Ixq96nLE4vC16+JXGa&#13;&#10;Uma0XP5br6dZuvoFAAD//wMAUEsDBBQABgAIAAAAIQCb+d6e5AAAABABAAAPAAAAZHJzL2Rvd25y&#13;&#10;ZXYueG1sTE89T8MwEN2R+A/WIbFRJ1FcII1ToVYVA2JooVJHNzZxRHyObDd1/z3uRJeT7t6791Ev&#13;&#10;oxnIpJzvLXLIZxkQha2VPXYcvr82Ty9AfBAoxWBRcbgoD8vm/q4WlbRn3KppFzqSRNBXgoMOYawo&#13;&#10;9a1WRviZHRUm7Mc6I0JaXUelE+ckbgZaZNmcGtFjctBiVCut2t/dyXDYr8bNRzxo8Tkx+b4unrcX&#13;&#10;10bOHx/iepHG2wJIUDH8f8C1Q8oPTQp2tCeUngwc5jlLzHRnrAByJeRllgM5cngtWQm0qeltkeYP&#13;&#10;AAD//wMAUEsBAi0AFAAGAAgAAAAhALaDOJL+AAAA4QEAABMAAAAAAAAAAAAAAAAAAAAAAFtDb250&#13;&#10;ZW50X1R5cGVzXS54bWxQSwECLQAUAAYACAAAACEAOP0h/9YAAACUAQAACwAAAAAAAAAAAAAAAAAv&#13;&#10;AQAAX3JlbHMvLnJlbHNQSwECLQAUAAYACAAAACEA5VYjzJ4CAACTBQAADgAAAAAAAAAAAAAAAAAu&#13;&#10;AgAAZHJzL2Uyb0RvYy54bWxQSwECLQAUAAYACAAAACEAm/nenuQAAAAQAQAADwAAAAAAAAAAAAAA&#13;&#10;AAD4BAAAZHJzL2Rvd25yZXYueG1sUEsFBgAAAAAEAAQA8wAAAAkG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849"/>
                        <w:gridCol w:w="2126"/>
                        <w:gridCol w:w="851"/>
                        <w:gridCol w:w="849"/>
                        <w:gridCol w:w="1701"/>
                        <w:gridCol w:w="1133"/>
                        <w:gridCol w:w="710"/>
                        <w:gridCol w:w="1269"/>
                      </w:tblGrid>
                      <w:tr w:rsidR="00532A76">
                        <w:trPr>
                          <w:trHeight w:val="311"/>
                        </w:trPr>
                        <w:tc>
                          <w:tcPr>
                            <w:tcW w:w="1277" w:type="dxa"/>
                            <w:vMerge w:val="restart"/>
                          </w:tcPr>
                          <w:p w:rsidR="00532A76" w:rsidRDefault="00532A76">
                            <w:pPr>
                              <w:pStyle w:val="TableParagraph"/>
                              <w:spacing w:before="14"/>
                              <w:rPr>
                                <w:sz w:val="29"/>
                              </w:rPr>
                            </w:pPr>
                          </w:p>
                          <w:p w:rsidR="00532A76" w:rsidRDefault="00532A76">
                            <w:pPr>
                              <w:pStyle w:val="TableParagraph"/>
                              <w:ind w:left="39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科目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532A76" w:rsidRDefault="00532A76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532A76" w:rsidRDefault="00532A76">
                            <w:pPr>
                              <w:pStyle w:val="TableParagraph"/>
                              <w:spacing w:before="1" w:line="146" w:lineRule="auto"/>
                              <w:ind w:left="184" w:right="172"/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實際停課節數</w:t>
                            </w:r>
                            <w:proofErr w:type="spellEnd"/>
                          </w:p>
                        </w:tc>
                        <w:tc>
                          <w:tcPr>
                            <w:tcW w:w="8639" w:type="dxa"/>
                            <w:gridSpan w:val="7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3821" w:right="380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補課節數</w:t>
                            </w:r>
                            <w:proofErr w:type="spellEnd"/>
                          </w:p>
                        </w:tc>
                      </w:tr>
                      <w:tr w:rsidR="00532A76">
                        <w:trPr>
                          <w:trHeight w:val="636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532A76" w:rsidRDefault="00532A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32A76" w:rsidRDefault="00532A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2"/>
                          </w:tcPr>
                          <w:p w:rsidR="00532A76" w:rsidRDefault="00532A76">
                            <w:pPr>
                              <w:pStyle w:val="TableParagraph"/>
                              <w:spacing w:line="384" w:lineRule="exact"/>
                              <w:ind w:left="76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到校實體補課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4" w:lineRule="exact"/>
                              <w:ind w:left="22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節數</w:t>
                            </w:r>
                            <w:proofErr w:type="spellEnd"/>
                          </w:p>
                          <w:p w:rsidR="00532A76" w:rsidRDefault="00532A76">
                            <w:pPr>
                              <w:pStyle w:val="TableParagraph"/>
                              <w:spacing w:line="322" w:lineRule="exact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（A）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2"/>
                          </w:tcPr>
                          <w:p w:rsidR="00532A76" w:rsidRDefault="00532A76">
                            <w:pPr>
                              <w:pStyle w:val="TableParagraph"/>
                              <w:spacing w:line="291" w:lineRule="exact"/>
                              <w:ind w:left="190" w:right="173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非到校實體補課</w:t>
                            </w:r>
                          </w:p>
                          <w:p w:rsidR="00532A76" w:rsidRDefault="00532A76">
                            <w:pPr>
                              <w:pStyle w:val="TableParagraph"/>
                              <w:spacing w:line="325" w:lineRule="exact"/>
                              <w:ind w:left="191" w:right="173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(停課期間線上學習折抵)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63" w:line="148" w:lineRule="auto"/>
                              <w:ind w:left="208" w:right="136" w:hanging="5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節數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(B)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361" w:lineRule="exact"/>
                              <w:ind w:left="27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總節數</w:t>
                            </w:r>
                            <w:proofErr w:type="spellEnd"/>
                          </w:p>
                          <w:p w:rsidR="00532A76" w:rsidRDefault="00532A76">
                            <w:pPr>
                              <w:pStyle w:val="TableParagraph"/>
                              <w:spacing w:line="255" w:lineRule="exact"/>
                              <w:ind w:left="1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(A)+(B)=(C)</w:t>
                            </w:r>
                          </w:p>
                        </w:tc>
                      </w:tr>
                      <w:tr w:rsidR="00532A76">
                        <w:trPr>
                          <w:trHeight w:val="858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532A76" w:rsidRDefault="00532A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32A76" w:rsidRDefault="00532A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349" w:lineRule="exact"/>
                              <w:ind w:left="183"/>
                            </w:pPr>
                            <w:proofErr w:type="spellStart"/>
                            <w:r>
                              <w:t>補課日期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星</w:t>
                            </w:r>
                            <w:proofErr w:type="spellEnd"/>
                            <w:r>
                              <w:t>期/節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0" w:line="146" w:lineRule="auto"/>
                              <w:ind w:left="207" w:right="189"/>
                            </w:pPr>
                            <w:proofErr w:type="spellStart"/>
                            <w:r>
                              <w:t>補課進度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4" w:line="168" w:lineRule="auto"/>
                              <w:ind w:left="111" w:right="172" w:firstLine="81"/>
                              <w:rPr>
                                <w:rFonts w:ascii="WenQuanYi Zen Hei Mono" w:eastAsia="WenQuanYi Zen Hei Mono"/>
                                <w:lang w:eastAsia="zh-TW"/>
                              </w:rPr>
                            </w:pPr>
                            <w:r>
                              <w:rPr>
                                <w:rFonts w:ascii="WenQuanYi Zen Hei Mono" w:eastAsia="WenQuanYi Zen Hei Mono" w:hint="eastAsia"/>
                                <w:lang w:eastAsia="zh-TW"/>
                              </w:rPr>
                              <w:t>線上學習折抵(需參考表3之</w:t>
                            </w:r>
                          </w:p>
                          <w:p w:rsidR="00532A76" w:rsidRDefault="00532A76">
                            <w:pPr>
                              <w:pStyle w:val="TableParagraph"/>
                              <w:spacing w:line="253" w:lineRule="exact"/>
                              <w:ind w:left="111"/>
                              <w:rPr>
                                <w:rFonts w:ascii="WenQuanYi Zen Hei Mono" w:eastAsia="WenQuanYi Zen Hei Mono"/>
                              </w:rPr>
                            </w:pPr>
                            <w:proofErr w:type="spellStart"/>
                            <w:r>
                              <w:rPr>
                                <w:rFonts w:ascii="WenQuanYi Zen Hei Mono" w:eastAsia="WenQuanYi Zen Hei Mono" w:hint="eastAsia"/>
                              </w:rPr>
                              <w:t>歷程後核定</w:t>
                            </w:r>
                            <w:proofErr w:type="spellEnd"/>
                            <w:r>
                              <w:rPr>
                                <w:rFonts w:ascii="WenQuanYi Zen Hei Mono" w:eastAsia="WenQuanYi Zen Hei Mono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1" w:line="146" w:lineRule="auto"/>
                              <w:ind w:left="330" w:right="190" w:hanging="12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評量後折抵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32A76">
                        <w:trPr>
                          <w:trHeight w:val="935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67" w:line="146" w:lineRule="auto"/>
                              <w:ind w:left="398" w:right="146" w:hanging="24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範例：英語文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84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11" w:lineRule="exact"/>
                              <w:ind w:left="96" w:right="87"/>
                              <w:jc w:val="center"/>
                              <w:rPr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sz w:val="18"/>
                                <w:lang w:eastAsia="zh-TW"/>
                              </w:rPr>
                              <w:t>4/1（三）早自修</w:t>
                            </w:r>
                          </w:p>
                          <w:p w:rsidR="00532A76" w:rsidRDefault="00532A76">
                            <w:pPr>
                              <w:pStyle w:val="TableParagraph"/>
                              <w:spacing w:line="234" w:lineRule="exact"/>
                              <w:ind w:left="96" w:right="87"/>
                              <w:jc w:val="center"/>
                              <w:rPr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sz w:val="18"/>
                                <w:lang w:eastAsia="zh-TW"/>
                              </w:rPr>
                              <w:t>4/1（三）第九節</w:t>
                            </w:r>
                          </w:p>
                          <w:p w:rsidR="00532A76" w:rsidRDefault="00532A76">
                            <w:pPr>
                              <w:pStyle w:val="TableParagraph"/>
                              <w:spacing w:line="234" w:lineRule="exact"/>
                              <w:ind w:left="98" w:right="87"/>
                              <w:jc w:val="center"/>
                              <w:rPr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sz w:val="18"/>
                                <w:lang w:eastAsia="zh-TW"/>
                              </w:rPr>
                              <w:t>4/2（四）例假日第一節</w:t>
                            </w:r>
                          </w:p>
                          <w:p w:rsidR="00532A76" w:rsidRDefault="00532A76">
                            <w:pPr>
                              <w:pStyle w:val="TableParagraph"/>
                              <w:spacing w:line="237" w:lineRule="exact"/>
                              <w:ind w:left="98" w:right="87"/>
                              <w:jc w:val="center"/>
                              <w:rPr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sz w:val="18"/>
                                <w:lang w:eastAsia="zh-TW"/>
                              </w:rPr>
                              <w:t>4/11（六）第一節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84"/>
                              <w:ind w:left="286" w:right="2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L4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84"/>
                              <w:ind w:left="3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84"/>
                              <w:ind w:left="7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84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84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spacing w:before="184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532A76">
                        <w:trPr>
                          <w:trHeight w:val="311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國語文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3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7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532A76">
                        <w:trPr>
                          <w:trHeight w:val="311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英語文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32A76">
                        <w:trPr>
                          <w:trHeight w:val="314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4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數學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32A76">
                        <w:trPr>
                          <w:trHeight w:val="311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自然科學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32A76">
                        <w:trPr>
                          <w:trHeight w:val="311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社會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32A76">
                        <w:trPr>
                          <w:trHeight w:val="311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科技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32A76">
                        <w:trPr>
                          <w:trHeight w:val="313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4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健康與體育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32A76">
                        <w:trPr>
                          <w:trHeight w:val="311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綜合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32A76">
                        <w:trPr>
                          <w:trHeight w:val="311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藝術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32A76">
                        <w:trPr>
                          <w:trHeight w:val="311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生活課程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32A76">
                        <w:trPr>
                          <w:trHeight w:val="314"/>
                        </w:trPr>
                        <w:tc>
                          <w:tcPr>
                            <w:tcW w:w="1277" w:type="dxa"/>
                          </w:tcPr>
                          <w:p w:rsidR="00532A76" w:rsidRDefault="00532A76">
                            <w:pPr>
                              <w:pStyle w:val="TableParagraph"/>
                              <w:spacing w:line="294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其它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532A76" w:rsidRDefault="00532A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532A76" w:rsidRDefault="00532A76" w:rsidP="00532A7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微軟正黑體" w:eastAsia="微軟正黑體" w:hAnsi="微軟正黑體" w:cs="微軟正黑體" w:hint="eastAsia"/>
          <w:sz w:val="24"/>
        </w:rPr>
        <w:t>四、補課時間</w:t>
      </w:r>
      <w:r>
        <w:rPr>
          <w:rFonts w:ascii="WenQuanYi Zen Hei Mono" w:eastAsia="WenQuanYi Zen Hei Mono" w:hint="eastAsia"/>
          <w:sz w:val="24"/>
        </w:rPr>
        <w:t>:</w:t>
      </w:r>
      <w:r>
        <w:rPr>
          <w:rFonts w:ascii="WenQuanYi Zen Hei Mono" w:eastAsia="WenQuanYi Zen Hei Mono" w:hint="eastAsia"/>
          <w:sz w:val="24"/>
          <w:u w:val="single"/>
        </w:rPr>
        <w:t xml:space="preserve"> </w:t>
      </w:r>
      <w:r>
        <w:rPr>
          <w:rFonts w:ascii="WenQuanYi Zen Hei Mono" w:eastAsia="WenQuanYi Zen Hei Mono" w:hint="eastAsia"/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日起至</w:t>
      </w:r>
      <w:r>
        <w:rPr>
          <w:rFonts w:ascii="WenQuanYi Zen Hei Mono" w:eastAsia="WenQuanYi Zen Hei Mono" w:hint="eastAsia"/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微軟正黑體" w:eastAsia="微軟正黑體" w:hAnsi="微軟正黑體" w:cs="微軟正黑體" w:hint="eastAsia"/>
          <w:sz w:val="24"/>
        </w:rPr>
        <w:t>日</w:t>
      </w:r>
    </w:p>
    <w:p w:rsidR="00532A76" w:rsidRDefault="00532A76" w:rsidP="00532A76">
      <w:pPr>
        <w:tabs>
          <w:tab w:val="left" w:pos="2837"/>
          <w:tab w:val="left" w:pos="3850"/>
          <w:tab w:val="left" w:pos="4931"/>
          <w:tab w:val="left" w:pos="6316"/>
          <w:tab w:val="left" w:pos="7331"/>
          <w:tab w:val="left" w:pos="8411"/>
        </w:tabs>
        <w:spacing w:before="24" w:line="177" w:lineRule="auto"/>
        <w:ind w:left="672" w:right="2047"/>
        <w:rPr>
          <w:rFonts w:ascii="WenQuanYi Zen Hei Mono" w:eastAsia="WenQuanYi Zen Hei Mono"/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五、線上學習規劃：</w:t>
      </w: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rPr>
          <w:rFonts w:ascii="WenQuanYi Zen Hei Mono"/>
          <w:sz w:val="24"/>
        </w:rPr>
      </w:pPr>
    </w:p>
    <w:p w:rsidR="00532A76" w:rsidRDefault="00532A76" w:rsidP="00532A76">
      <w:pPr>
        <w:pStyle w:val="a3"/>
        <w:spacing w:before="2"/>
        <w:rPr>
          <w:rFonts w:ascii="WenQuanYi Zen Hei Mono"/>
          <w:sz w:val="24"/>
        </w:rPr>
      </w:pPr>
    </w:p>
    <w:p w:rsidR="00532A76" w:rsidRDefault="00532A76" w:rsidP="00532A76">
      <w:pPr>
        <w:ind w:left="672"/>
        <w:rPr>
          <w:rFonts w:ascii="微軟正黑體" w:eastAsia="微軟正黑體" w:hAnsi="微軟正黑體" w:cs="微軟正黑體"/>
          <w:sz w:val="20"/>
        </w:rPr>
      </w:pPr>
    </w:p>
    <w:p w:rsidR="00532A76" w:rsidRDefault="00532A76" w:rsidP="00532A76">
      <w:pPr>
        <w:ind w:left="672"/>
        <w:rPr>
          <w:rFonts w:ascii="微軟正黑體" w:eastAsia="微軟正黑體" w:hAnsi="微軟正黑體" w:cs="微軟正黑體"/>
          <w:sz w:val="20"/>
        </w:rPr>
      </w:pPr>
    </w:p>
    <w:p w:rsidR="00532A76" w:rsidRDefault="00532A76" w:rsidP="00532A76">
      <w:pPr>
        <w:ind w:left="672"/>
        <w:rPr>
          <w:rFonts w:ascii="微軟正黑體" w:eastAsia="微軟正黑體" w:hAnsi="微軟正黑體" w:cs="微軟正黑體"/>
          <w:sz w:val="20"/>
        </w:rPr>
      </w:pPr>
    </w:p>
    <w:p w:rsidR="00532A76" w:rsidRDefault="00532A76" w:rsidP="00532A76">
      <w:pPr>
        <w:ind w:left="672"/>
        <w:rPr>
          <w:rFonts w:ascii="微軟正黑體" w:eastAsia="微軟正黑體" w:hAnsi="微軟正黑體" w:cs="微軟正黑體"/>
          <w:sz w:val="20"/>
        </w:rPr>
      </w:pPr>
    </w:p>
    <w:p w:rsidR="00532A76" w:rsidRDefault="00532A76" w:rsidP="00532A76">
      <w:pPr>
        <w:ind w:left="672"/>
        <w:rPr>
          <w:sz w:val="20"/>
        </w:rPr>
      </w:pPr>
      <w:r>
        <w:rPr>
          <w:rFonts w:ascii="微軟正黑體" w:eastAsia="微軟正黑體" w:hAnsi="微軟正黑體" w:cs="微軟正黑體" w:hint="eastAsia"/>
          <w:sz w:val="20"/>
        </w:rPr>
        <w:t>備註：實體補課之規劃以最多補課節數之教師為填寫原則，若以完成者時數折抵教師可無須到校進行實體補課</w:t>
      </w:r>
    </w:p>
    <w:p w:rsidR="00532A76" w:rsidRPr="00532A76" w:rsidRDefault="00532A76" w:rsidP="00532A76">
      <w:pPr>
        <w:pStyle w:val="a3"/>
        <w:tabs>
          <w:tab w:val="left" w:pos="3709"/>
          <w:tab w:val="left" w:pos="5629"/>
        </w:tabs>
        <w:spacing w:before="53"/>
        <w:ind w:left="106"/>
      </w:pPr>
      <w:r>
        <w:rPr>
          <w:rFonts w:ascii="微軟正黑體" w:eastAsia="微軟正黑體" w:hAnsi="微軟正黑體" w:cs="微軟正黑體" w:hint="eastAsia"/>
        </w:rPr>
        <w:t>課發會</w:t>
      </w:r>
      <w:r>
        <w:rPr>
          <w:rFonts w:ascii="微軟正黑體" w:eastAsia="微軟正黑體" w:hAnsi="微軟正黑體" w:cs="微軟正黑體" w:hint="eastAsia"/>
          <w:spacing w:val="-3"/>
        </w:rPr>
        <w:t>審</w:t>
      </w:r>
      <w:r>
        <w:rPr>
          <w:rFonts w:ascii="微軟正黑體" w:eastAsia="微軟正黑體" w:hAnsi="微軟正黑體" w:cs="微軟正黑體" w:hint="eastAsia"/>
        </w:rPr>
        <w:t>查結</w:t>
      </w:r>
      <w:r>
        <w:rPr>
          <w:rFonts w:ascii="微軟正黑體" w:eastAsia="微軟正黑體" w:hAnsi="微軟正黑體" w:cs="微軟正黑體" w:hint="eastAsia"/>
          <w:spacing w:val="-3"/>
        </w:rPr>
        <w:t>果</w:t>
      </w:r>
      <w:r>
        <w:rPr>
          <w:rFonts w:ascii="微軟正黑體" w:eastAsia="微軟正黑體" w:hAnsi="微軟正黑體" w:cs="微軟正黑體" w:hint="eastAsia"/>
        </w:rPr>
        <w:t>：</w:t>
      </w:r>
      <w:r>
        <w:rPr>
          <w:color w:val="FF0000"/>
          <w:sz w:val="24"/>
        </w:rPr>
        <w:t>□</w:t>
      </w:r>
      <w:r>
        <w:rPr>
          <w:color w:val="FF0000"/>
          <w:spacing w:val="20"/>
          <w:sz w:val="24"/>
        </w:rPr>
        <w:t xml:space="preserve"> </w:t>
      </w:r>
      <w:r>
        <w:rPr>
          <w:rFonts w:ascii="微軟正黑體" w:eastAsia="微軟正黑體" w:hAnsi="微軟正黑體" w:cs="微軟正黑體" w:hint="eastAsia"/>
        </w:rPr>
        <w:t>通過</w:t>
      </w:r>
      <w:r>
        <w:tab/>
      </w:r>
      <w:r>
        <w:rPr>
          <w:color w:val="FF0000"/>
          <w:spacing w:val="-3"/>
          <w:sz w:val="24"/>
        </w:rPr>
        <w:t>□</w:t>
      </w:r>
      <w:r>
        <w:rPr>
          <w:rFonts w:ascii="微軟正黑體" w:eastAsia="微軟正黑體" w:hAnsi="微軟正黑體" w:cs="微軟正黑體" w:hint="eastAsia"/>
        </w:rPr>
        <w:t>修正</w:t>
      </w:r>
      <w:r>
        <w:rPr>
          <w:rFonts w:ascii="微軟正黑體" w:eastAsia="微軟正黑體" w:hAnsi="微軟正黑體" w:cs="微軟正黑體" w:hint="eastAsia"/>
          <w:spacing w:val="-3"/>
        </w:rPr>
        <w:t>後</w:t>
      </w:r>
      <w:r>
        <w:rPr>
          <w:rFonts w:ascii="微軟正黑體" w:eastAsia="微軟正黑體" w:hAnsi="微軟正黑體" w:cs="微軟正黑體" w:hint="eastAsia"/>
        </w:rPr>
        <w:t>通過</w:t>
      </w:r>
      <w:r>
        <w:tab/>
      </w:r>
      <w:r>
        <w:rPr>
          <w:color w:val="FF0000"/>
          <w:spacing w:val="-3"/>
          <w:sz w:val="24"/>
        </w:rPr>
        <w:t>□</w:t>
      </w:r>
      <w:r>
        <w:rPr>
          <w:rFonts w:ascii="微軟正黑體" w:eastAsia="微軟正黑體" w:hAnsi="微軟正黑體" w:cs="微軟正黑體" w:hint="eastAsia"/>
        </w:rPr>
        <w:t>不通過</w:t>
      </w:r>
    </w:p>
    <w:p w:rsidR="00E43BD2" w:rsidRDefault="00532A76" w:rsidP="00532A76">
      <w:pPr>
        <w:rPr>
          <w:rFonts w:ascii="微軟正黑體" w:eastAsia="微軟正黑體" w:hAnsi="微軟正黑體" w:cs="微軟正黑體"/>
          <w:lang w:eastAsia="zh-CN"/>
        </w:rPr>
      </w:pPr>
      <w:r>
        <w:rPr>
          <w:rFonts w:ascii="微軟正黑體" w:eastAsia="微軟正黑體" w:hAnsi="微軟正黑體" w:cs="微軟正黑體" w:hint="eastAsia"/>
        </w:rPr>
        <w:t>承辦人</w:t>
      </w:r>
      <w:r>
        <w:t>:</w:t>
      </w:r>
      <w:r>
        <w:tab/>
      </w:r>
      <w:r w:rsidR="001821CA">
        <w:t xml:space="preserve">                      </w:t>
      </w:r>
      <w:r>
        <w:rPr>
          <w:rFonts w:ascii="微軟正黑體" w:eastAsia="微軟正黑體" w:hAnsi="微軟正黑體" w:cs="微軟正黑體" w:hint="eastAsia"/>
        </w:rPr>
        <w:t>主任</w:t>
      </w:r>
      <w:r>
        <w:t>:</w:t>
      </w:r>
      <w:r w:rsidR="001821CA">
        <w:t xml:space="preserve">                         </w:t>
      </w:r>
      <w:r w:rsidR="001821CA">
        <w:rPr>
          <w:rFonts w:ascii="微軟正黑體" w:eastAsia="微軟正黑體" w:hAnsi="微軟正黑體" w:cs="微軟正黑體" w:hint="eastAsia"/>
          <w:lang w:eastAsia="zh-CN"/>
        </w:rPr>
        <w:t>校長:</w:t>
      </w:r>
    </w:p>
    <w:p w:rsidR="001821CA" w:rsidRDefault="001821CA" w:rsidP="00532A76">
      <w:pPr>
        <w:rPr>
          <w:rFonts w:hint="eastAsia"/>
        </w:rPr>
      </w:pPr>
      <w:bookmarkStart w:id="0" w:name="_GoBack"/>
      <w:bookmarkEnd w:id="0"/>
    </w:p>
    <w:sectPr w:rsidR="001821CA" w:rsidSect="00532A76">
      <w:pgSz w:w="11900" w:h="16840"/>
      <w:pgMar w:top="567" w:right="567" w:bottom="816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Mono CJK JP Bold">
    <w:altName w:val="Arial"/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nQuanYi Zen Hei Mono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76"/>
    <w:rsid w:val="001821CA"/>
    <w:rsid w:val="00532A76"/>
    <w:rsid w:val="005A42E4"/>
    <w:rsid w:val="00741190"/>
    <w:rsid w:val="00CB0C7C"/>
    <w:rsid w:val="00D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4C18"/>
  <w14:defaultImageDpi w14:val="32767"/>
  <w15:chartTrackingRefBased/>
  <w15:docId w15:val="{D4650258-D284-D745-845C-E399DF39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32A76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A76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2A76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532A76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3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邱幸儀</dc:creator>
  <cp:keywords/>
  <dc:description/>
  <cp:lastModifiedBy>邱幸儀</cp:lastModifiedBy>
  <cp:revision>4</cp:revision>
  <dcterms:created xsi:type="dcterms:W3CDTF">2020-04-19T13:47:00Z</dcterms:created>
  <dcterms:modified xsi:type="dcterms:W3CDTF">2020-04-19T13:50:00Z</dcterms:modified>
</cp:coreProperties>
</file>