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標楷體" w:hAnsi="標楷體" w:eastAsia="標楷體"/>
          <w:color w:val="FF0000"/>
          <w:sz w:val="28"/>
          <w:szCs w:val="28"/>
          <w:u w:val="single"/>
        </w:rPr>
      </w:pPr>
      <w:r>
        <w:rPr>
          <w:rFonts w:hint="eastAsia" w:ascii="標楷體" w:hAnsi="標楷體" w:eastAsia="標楷體"/>
          <w:sz w:val="28"/>
          <w:szCs w:val="28"/>
        </w:rPr>
        <w:t>臺南市永仁高中國中部109學年度第一學期彈性學習課程計畫</w:t>
      </w:r>
      <w:r>
        <w:rPr>
          <w:rFonts w:hint="eastAsia" w:ascii="標楷體" w:hAnsi="標楷體" w:eastAsia="標楷體"/>
          <w:color w:val="FF0000"/>
          <w:sz w:val="28"/>
          <w:szCs w:val="28"/>
        </w:rPr>
        <w:t>-</w:t>
      </w:r>
      <w:r>
        <w:rPr>
          <w:rFonts w:hint="eastAsia" w:ascii="標楷體" w:hAnsi="標楷體" w:eastAsia="標楷體"/>
          <w:b/>
          <w:color w:val="FF0000"/>
          <w:sz w:val="28"/>
          <w:szCs w:val="28"/>
        </w:rPr>
        <w:t>社團</w:t>
      </w:r>
      <w:r>
        <w:rPr>
          <w:rFonts w:hint="eastAsia" w:ascii="標楷體" w:hAnsi="標楷體" w:eastAsia="標楷體"/>
          <w:b/>
          <w:color w:val="FF0000"/>
          <w:sz w:val="28"/>
          <w:szCs w:val="28"/>
        </w:rPr>
        <w:t>活動</w:t>
      </w:r>
      <w:r>
        <w:rPr>
          <w:rFonts w:hint="eastAsia" w:ascii="標楷體" w:hAnsi="標楷體" w:eastAsia="標楷體"/>
          <w:b/>
          <w:color w:val="FF0000"/>
          <w:sz w:val="28"/>
          <w:szCs w:val="28"/>
        </w:rPr>
        <w:t>與技藝課程</w:t>
      </w:r>
    </w:p>
    <w:tbl>
      <w:tblPr>
        <w:tblStyle w:val="8"/>
        <w:tblW w:w="151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709"/>
        <w:gridCol w:w="946"/>
        <w:gridCol w:w="1180"/>
        <w:gridCol w:w="1797"/>
        <w:gridCol w:w="896"/>
        <w:gridCol w:w="1656"/>
        <w:gridCol w:w="1275"/>
        <w:gridCol w:w="1322"/>
        <w:gridCol w:w="1797"/>
        <w:gridCol w:w="896"/>
        <w:gridCol w:w="521"/>
        <w:gridCol w:w="8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947" w:type="dxa"/>
            <w:gridSpan w:val="3"/>
            <w:tcBorders>
              <w:top w:val="thinThickSmallGap" w:color="auto" w:sz="24" w:space="0"/>
              <w:left w:val="thinThickSmallGap" w:color="auto" w:sz="2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社團活動或技藝課程名稱</w:t>
            </w:r>
          </w:p>
        </w:tc>
        <w:tc>
          <w:tcPr>
            <w:tcW w:w="2977" w:type="dxa"/>
            <w:gridSpan w:val="2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籃球社</w:t>
            </w:r>
          </w:p>
        </w:tc>
        <w:tc>
          <w:tcPr>
            <w:tcW w:w="896" w:type="dxa"/>
            <w:tcBorders>
              <w:top w:val="thinThickSmallGap" w:color="auto" w:sz="2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實施年級</w:t>
            </w:r>
          </w:p>
        </w:tc>
        <w:tc>
          <w:tcPr>
            <w:tcW w:w="1656" w:type="dxa"/>
            <w:tcBorders>
              <w:top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color="auto" w:sz="24" w:space="0"/>
              <w:bottom w:val="single" w:color="auto" w:sz="4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教學節數</w:t>
            </w:r>
          </w:p>
        </w:tc>
        <w:tc>
          <w:tcPr>
            <w:tcW w:w="3119" w:type="dxa"/>
            <w:gridSpan w:val="2"/>
            <w:tcBorders>
              <w:top w:val="thinThickSmallGap" w:color="auto" w:sz="2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本學期共(  19   )節</w:t>
            </w:r>
          </w:p>
        </w:tc>
        <w:tc>
          <w:tcPr>
            <w:tcW w:w="1417" w:type="dxa"/>
            <w:gridSpan w:val="2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color="auto" w:sz="24" w:space="0"/>
              <w:left w:val="single" w:color="auto" w:sz="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947" w:type="dxa"/>
            <w:gridSpan w:val="3"/>
            <w:tcBorders>
              <w:top w:val="single" w:color="auto" w:sz="4" w:space="0"/>
              <w:left w:val="thinThickSmallGap" w:color="auto" w:sz="24" w:space="0"/>
              <w:bottom w:val="single" w:color="auto" w:sz="2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彈性學習課程規範</w:t>
            </w:r>
          </w:p>
        </w:tc>
        <w:tc>
          <w:tcPr>
            <w:tcW w:w="12221" w:type="dxa"/>
            <w:gridSpan w:val="10"/>
            <w:tcBorders>
              <w:top w:val="single" w:color="auto" w:sz="4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260" w:lineRule="exact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2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.□社團活動與技藝課程</w:t>
            </w:r>
            <w:r>
              <w:rPr>
                <w:rFonts w:hint="eastAsia" w:ascii="標楷體" w:hAnsi="標楷體" w:eastAsia="標楷體"/>
                <w:color w:val="FF0000"/>
              </w:rPr>
              <w:t>(社團活動)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947" w:type="dxa"/>
            <w:gridSpan w:val="3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0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shd w:val="clear" w:color="auto" w:fill="auto"/>
            <w:vAlign w:val="center"/>
          </w:tcPr>
          <w:p>
            <w:pPr>
              <w:snapToGrid w:val="0"/>
              <w:spacing w:line="260" w:lineRule="exact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C</w:t>
            </w:r>
            <w:r>
              <w:rPr>
                <w:rFonts w:ascii="標楷體" w:hAnsi="標楷體" w:eastAsia="標楷體"/>
                <w:b/>
                <w:color w:val="FF0000"/>
              </w:rPr>
              <w:t>2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人際關係與團隊合作</w:t>
            </w:r>
          </w:p>
          <w:p>
            <w:pPr>
              <w:snapToGrid w:val="0"/>
              <w:spacing w:line="260" w:lineRule="exact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B</w:t>
            </w:r>
            <w:r>
              <w:rPr>
                <w:rFonts w:ascii="標楷體" w:hAnsi="標楷體" w:eastAsia="標楷體"/>
                <w:b/>
                <w:color w:val="FF0000"/>
              </w:rPr>
              <w:t>2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符號運用與溝通表達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947" w:type="dxa"/>
            <w:gridSpan w:val="3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課程目標</w:t>
            </w:r>
          </w:p>
        </w:tc>
        <w:tc>
          <w:tcPr>
            <w:tcW w:w="12221" w:type="dxa"/>
            <w:gridSpan w:val="10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shd w:val="clear" w:color="auto" w:fill="auto"/>
            <w:vAlign w:val="center"/>
          </w:tcPr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提升學生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運動能力</w:t>
            </w:r>
            <w:r>
              <w:rPr>
                <w:rFonts w:hint="eastAsia" w:ascii="標楷體" w:hAnsi="標楷體" w:eastAsia="標楷體"/>
                <w:b/>
                <w:color w:val="FF0000"/>
              </w:rPr>
              <w:t>及表現</w:t>
            </w:r>
          </w:p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提升學生溝通表達及判斷能力</w:t>
            </w:r>
          </w:p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增進團隊學習及團隊合作的表現</w:t>
            </w:r>
          </w:p>
          <w:p>
            <w:pPr>
              <w:pStyle w:val="14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hAnsi="標楷體" w:eastAsia="標楷體"/>
                <w:b/>
                <w:color w:val="FF0000"/>
              </w:rPr>
            </w:pPr>
            <w:r>
              <w:rPr>
                <w:rFonts w:hint="eastAsia" w:ascii="標楷體" w:hAnsi="標楷體" w:eastAsia="標楷體"/>
                <w:b/>
                <w:color w:val="FF0000"/>
              </w:rPr>
              <w:t>能清楚了解籃球比賽中的相關規則</w:t>
            </w:r>
          </w:p>
        </w:tc>
      </w:tr>
      <w:tr>
        <w:trPr>
          <w:trHeight w:val="400" w:hRule="atLeast"/>
          <w:jc w:val="center"/>
        </w:trPr>
        <w:tc>
          <w:tcPr>
            <w:tcW w:w="15168" w:type="dxa"/>
            <w:gridSpan w:val="13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  <w:right w:val="thickThinSmallGap" w:color="auto" w:sz="2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課程架構脈絡</w:t>
            </w:r>
          </w:p>
        </w:tc>
      </w:tr>
      <w:tr>
        <w:trPr>
          <w:trHeight w:val="710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教學期程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Cs w:val="24"/>
              </w:rPr>
              <w:t>節數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FF0000"/>
              </w:rPr>
              <w:t>單元或課程</w:t>
            </w:r>
            <w:r>
              <w:rPr>
                <w:rFonts w:hint="eastAsia" w:ascii="標楷體" w:hAnsi="標楷體" w:eastAsia="標楷體"/>
                <w:color w:val="FF0000"/>
              </w:rPr>
              <w:t>名稱</w:t>
            </w:r>
          </w:p>
        </w:tc>
        <w:tc>
          <w:tcPr>
            <w:tcW w:w="2693" w:type="dxa"/>
            <w:gridSpan w:val="2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學習內容</w:t>
            </w:r>
          </w:p>
        </w:tc>
        <w:tc>
          <w:tcPr>
            <w:tcW w:w="4253" w:type="dxa"/>
            <w:gridSpan w:val="3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</w:rPr>
              <w:t>學習目標</w:t>
            </w:r>
          </w:p>
        </w:tc>
        <w:tc>
          <w:tcPr>
            <w:tcW w:w="2693" w:type="dxa"/>
            <w:gridSpan w:val="2"/>
            <w:tcBorders>
              <w:top w:val="single" w:color="auto" w:sz="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</w:rPr>
              <w:t>學習評量(評量方式)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備註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9/7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填選志願序選社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9/14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熱身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球感及課堂前熱身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學會以球熱身，並運用在每次課程開始前。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9/21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基本運球與抄截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原地運球及抄截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numPr>
                <w:ilvl w:val="0"/>
                <w:numId w:val="2"/>
              </w:numPr>
              <w:ind w:leftChars="0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能將球成功運在自己的手上</w:t>
            </w:r>
          </w:p>
          <w:p>
            <w:pPr>
              <w:pStyle w:val="14"/>
              <w:numPr>
                <w:ilvl w:val="0"/>
                <w:numId w:val="2"/>
              </w:numPr>
              <w:ind w:leftChars="0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能在不觸碰到他人身體而取得球權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9/28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進階運球與攻防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行進間運球及防守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1.能將球成功護住運到目的地</w:t>
            </w:r>
          </w:p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2.能在運球者抵達目的地前成功取得球權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10/5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定點式傳接球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地板傳球、胸前平傳、頂上傳球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能雙手併用將球傳到指定位置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10/12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移動式傳接球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地板傳球、胸前平傳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能在移動過程中將球成功的傳到隊友手上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10/19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移動式傳接球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三人</w:t>
            </w:r>
            <w:r>
              <w:rPr>
                <w:rFonts w:ascii="標楷體" w:hAnsi="標楷體" w:eastAsia="標楷體"/>
              </w:rPr>
              <w:t>8</w:t>
            </w:r>
            <w:r>
              <w:rPr>
                <w:rFonts w:hint="eastAsia" w:ascii="標楷體" w:hAnsi="標楷體" w:eastAsia="標楷體"/>
              </w:rPr>
              <w:t>字傳接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能跑對位置而不妨礙隊友傳接球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10/26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投籃技巧練習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單手投籃、雙手投籃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能依照自己的手部肌力選擇適合自己的投籃方法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11/2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投籃技巧練習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籃下擦板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能準確的瞄準擦板位置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11/9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投籃技巧訓練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帶球上籃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1.能準確將球放進籃框</w:t>
            </w:r>
          </w:p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2.能在不走步的情況下完成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11/16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投籃技巧訓練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定點式傳接帶球上籃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能在接到球後不運球的狀況下完成上籃動作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11/23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投籃技巧訓練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移動式傳接帶球上籃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兩人互傳，能在不走步的情況下完成上籃動作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11/30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規則與裁判手勢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比賽規則講解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能判斷違例與犯規的區別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12/7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規則與裁判手勢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裁判動作與手勢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1.能說出裁判的動作代表意義為何</w:t>
            </w:r>
          </w:p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2.能做出老師給予的動作與指令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12/14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三打二、二打一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標楷體" w:hAnsi="標楷體" w:eastAsia="標楷體"/>
                <w:lang w:eastAsia="zh-TW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能做出戰術之運用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12/21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三打二、二打一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能做出戰術之運用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12/28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三打二、二打一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能做出戰術之運用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bookmarkStart w:id="0" w:name="_GoBack" w:colFirst="5" w:colLast="3"/>
            <w:r>
              <w:rPr>
                <w:rFonts w:hint="eastAsia" w:ascii="標楷體" w:hAnsi="標楷體" w:eastAsia="標楷體"/>
                <w:b/>
              </w:rPr>
              <w:t>1/4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戰術教學與運用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三打二、二打一</w:t>
            </w: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lang w:eastAsia="zh-TW"/>
              </w:rPr>
              <w:t>能做出戰術之運用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態度評量2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活動參與3</w:t>
            </w:r>
            <w:r>
              <w:rPr>
                <w:rFonts w:ascii="標楷體" w:hAnsi="標楷體" w:eastAsia="標楷體"/>
              </w:rPr>
              <w:t>.</w:t>
            </w:r>
            <w:r>
              <w:rPr>
                <w:rFonts w:hint="eastAsia" w:ascii="標楷體" w:hAnsi="標楷體" w:eastAsia="標楷體"/>
              </w:rPr>
              <w:t>實作表現</w:t>
            </w: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92" w:type="dxa"/>
            <w:tcBorders>
              <w:top w:val="single" w:color="auto" w:sz="2" w:space="0"/>
              <w:left w:val="thinThickSmallGap" w:color="auto" w:sz="24" w:space="0"/>
              <w:bottom w:val="single" w:color="auto" w:sz="2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1/11</w:t>
            </w:r>
          </w:p>
        </w:tc>
        <w:tc>
          <w:tcPr>
            <w:tcW w:w="709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填寫回饋表</w:t>
            </w: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425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26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1402" w:type="dxa"/>
            <w:gridSpan w:val="2"/>
            <w:tcBorders>
              <w:top w:val="single" w:color="auto" w:sz="2" w:space="0"/>
              <w:bottom w:val="single" w:color="auto" w:sz="2" w:space="0"/>
              <w:right w:val="thickThinSmallGap" w:color="auto" w:sz="24" w:space="0"/>
            </w:tcBorders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</w:tbl>
    <w:p>
      <w:pPr>
        <w:snapToGrid w:val="0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◎教學期程請敘明週次起訖，如行列太多或不足，請自行增刪。</w:t>
      </w:r>
    </w:p>
    <w:p>
      <w:pPr>
        <w:snapToGrid w:val="0"/>
        <w:rPr>
          <w:rFonts w:ascii="新細明體" w:hAnsi="新細明體" w:eastAsia="新細明體"/>
        </w:rPr>
      </w:pPr>
      <w:r>
        <w:rPr>
          <w:rFonts w:hint="eastAsia" w:ascii="標楷體" w:hAnsi="標楷體" w:eastAsia="標楷體"/>
        </w:rPr>
        <w:t>◎</w:t>
      </w:r>
      <w:r>
        <w:rPr>
          <w:rFonts w:hint="eastAsia" w:eastAsia="標楷體"/>
        </w:rPr>
        <w:t>備註</w:t>
      </w:r>
      <w:r>
        <w:rPr>
          <w:rFonts w:hint="eastAsia" w:eastAsia="標楷體"/>
          <w:b/>
        </w:rPr>
        <w:t>可</w:t>
      </w:r>
      <w:r>
        <w:rPr>
          <w:rFonts w:hint="eastAsia" w:eastAsia="標楷體"/>
        </w:rPr>
        <w:t>加註說明各社團以年段或班群實施現況、議題融入或教材設計說明</w:t>
      </w:r>
      <w:r>
        <w:rPr>
          <w:rFonts w:hint="eastAsia" w:ascii="標楷體" w:hAnsi="標楷體" w:eastAsia="標楷體"/>
        </w:rPr>
        <w:t>，</w:t>
      </w:r>
      <w:r>
        <w:rPr>
          <w:rFonts w:hint="eastAsia" w:eastAsia="標楷體"/>
        </w:rPr>
        <w:t>無則免填</w:t>
      </w:r>
      <w:r>
        <w:rPr>
          <w:rFonts w:hint="eastAsia" w:ascii="新細明體" w:hAnsi="新細明體" w:eastAsia="新細明體"/>
        </w:rPr>
        <w:t>。</w:t>
      </w:r>
    </w:p>
    <w:p>
      <w:pPr>
        <w:snapToGrid w:val="0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>◎</w:t>
      </w:r>
      <w:r>
        <w:rPr>
          <w:rFonts w:hint="eastAsia" w:ascii="標楷體" w:hAnsi="標楷體" w:eastAsia="標楷體"/>
          <w:color w:val="FF0000"/>
        </w:rPr>
        <w:t>各社團</w:t>
      </w:r>
      <w:r>
        <w:rPr>
          <w:rFonts w:hint="eastAsia" w:ascii="標楷體" w:hAnsi="標楷體" w:eastAsia="標楷體"/>
          <w:color w:val="FF0000"/>
        </w:rPr>
        <w:t>務必</w:t>
      </w:r>
      <w:r>
        <w:rPr>
          <w:rFonts w:hint="eastAsia" w:ascii="標楷體" w:hAnsi="標楷體" w:eastAsia="標楷體"/>
          <w:color w:val="FF0000"/>
        </w:rPr>
        <w:t>寫一份，9/30前補齊</w:t>
      </w:r>
      <w:r>
        <w:rPr>
          <w:rFonts w:hint="eastAsia" w:ascii="標楷體" w:hAnsi="標楷體" w:eastAsia="標楷體"/>
        </w:rPr>
        <w:t>。</w:t>
      </w:r>
    </w:p>
    <w:sectPr>
      <w:headerReference r:id="rId3" w:type="default"/>
      <w:pgSz w:w="16838" w:h="11906" w:orient="landscape"/>
      <w:pgMar w:top="1134" w:right="851" w:bottom="1134" w:left="851" w:header="567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新細明體">
    <w:altName w:val="PMingLiU"/>
    <w:panose1 w:val="02020500000000000000"/>
    <w:charset w:val="86"/>
    <w:family w:val="roman"/>
    <w:pitch w:val="default"/>
    <w:sig w:usb0="A00002FF" w:usb1="28CFFCFA" w:usb2="00000016" w:usb3="00000000" w:csb0="00100001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000001FF" w:csb1="00000000"/>
  </w:font>
  <w:font w:name="細明體">
    <w:altName w:val="MingLiU"/>
    <w:panose1 w:val="02020509000000000000"/>
    <w:charset w:val="00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標楷體">
    <w:panose1 w:val="02010601000101010101"/>
    <w:charset w:val="88"/>
    <w:family w:val="auto"/>
    <w:pitch w:val="default"/>
    <w:sig w:usb0="00000000" w:usb1="00000000" w:usb2="0000001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C6</w:t>
    </w:r>
    <w:r>
      <w:t>-1</w:t>
    </w:r>
    <w:r>
      <w:rPr>
        <w:rFonts w:hint="eastAsia" w:asciiTheme="minorEastAsia" w:hAnsiTheme="minorEastAsia"/>
      </w:rPr>
      <w:t>彈性學習課程計畫(新課綱版-社團與技藝類)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3B10"/>
    <w:multiLevelType w:val="multilevel"/>
    <w:tmpl w:val="19853B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DDF0307"/>
    <w:multiLevelType w:val="multilevel"/>
    <w:tmpl w:val="5DDF030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Note Heading"/>
    <w:basedOn w:val="1"/>
    <w:next w:val="1"/>
    <w:link w:val="12"/>
    <w:semiHidden/>
    <w:uiPriority w:val="0"/>
    <w:pPr>
      <w:jc w:val="center"/>
    </w:pPr>
    <w:rPr>
      <w:rFonts w:ascii="Times New Roman" w:hAnsi="Times New Roman" w:eastAsia="新細明體" w:cs="Times New Roman"/>
      <w:szCs w:val="24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Balloon Text"/>
    <w:basedOn w:val="1"/>
    <w:link w:val="11"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頁首 字元"/>
    <w:basedOn w:val="6"/>
    <w:link w:val="2"/>
    <w:uiPriority w:val="99"/>
    <w:rPr>
      <w:sz w:val="20"/>
      <w:szCs w:val="20"/>
    </w:rPr>
  </w:style>
  <w:style w:type="character" w:customStyle="1" w:styleId="10">
    <w:name w:val="頁尾 字元"/>
    <w:basedOn w:val="6"/>
    <w:link w:val="4"/>
    <w:uiPriority w:val="99"/>
    <w:rPr>
      <w:sz w:val="20"/>
      <w:szCs w:val="20"/>
    </w:rPr>
  </w:style>
  <w:style w:type="character" w:customStyle="1" w:styleId="11">
    <w:name w:val="註解方塊文字 字元"/>
    <w:basedOn w:val="6"/>
    <w:link w:val="5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character" w:customStyle="1" w:styleId="12">
    <w:name w:val="註釋標題 字元"/>
    <w:basedOn w:val="6"/>
    <w:link w:val="3"/>
    <w:semiHidden/>
    <w:qFormat/>
    <w:uiPriority w:val="0"/>
    <w:rPr>
      <w:rFonts w:ascii="Times New Roman" w:hAnsi="Times New Roman" w:eastAsia="新細明體" w:cs="Times New Roman"/>
      <w:szCs w:val="24"/>
    </w:rPr>
  </w:style>
  <w:style w:type="character" w:customStyle="1" w:styleId="13">
    <w:name w:val="fontstyle01"/>
    <w:qFormat/>
    <w:uiPriority w:val="0"/>
    <w:rPr>
      <w:rFonts w:hint="default" w:ascii="TimesNewRomanPS-BoldMT" w:hAnsi="TimesNewRomanPS-BoldMT"/>
      <w:b/>
      <w:bCs/>
      <w:color w:val="000000"/>
      <w:sz w:val="24"/>
      <w:szCs w:val="24"/>
    </w:rPr>
  </w:style>
  <w:style w:type="paragraph" w:customStyle="1" w:styleId="14">
    <w:name w:val="List Paragraph"/>
    <w:basedOn w:val="1"/>
    <w:qFormat/>
    <w:uiPriority w:val="34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180</Words>
  <Characters>1028</Characters>
  <Lines>8</Lines>
  <Paragraphs>2</Paragraphs>
  <TotalTime>0</TotalTime>
  <ScaleCrop>false</ScaleCrop>
  <LinksUpToDate>false</LinksUpToDate>
  <CharactersWithSpaces>1206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2020-08-27T11:13:00Z</dcterms:created>
  <dc:creator>Acer</dc:creator>
  <cp:lastModifiedBy>RuRu 的 iPhone</cp:lastModifiedBy>
  <cp:lastPrinted>2019-03-19T11:15:00Z</cp:lastPrinted>
  <dcterms:modified xsi:type="dcterms:W3CDTF">2020-08-27T13:21:39Z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2052-10.14.0</vt:lpwstr>
  </property>
</Properties>
</file>