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77" w:rsidRDefault="002C5A7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「行政院與所屬中央及地方各機關公務人員休假改進措施</w:t>
      </w:r>
      <w:r w:rsidR="00BB53DE" w:rsidRPr="002C5A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86252">
        <w:rPr>
          <w:rFonts w:ascii="標楷體" w:eastAsia="標楷體" w:hAnsi="標楷體" w:hint="eastAsia"/>
          <w:sz w:val="28"/>
          <w:szCs w:val="28"/>
        </w:rPr>
        <w:t>五</w:t>
      </w:r>
      <w:r w:rsidR="009E4E5E" w:rsidRPr="002C5A77">
        <w:rPr>
          <w:rFonts w:ascii="標楷體" w:eastAsia="標楷體" w:hAnsi="標楷體" w:hint="eastAsia"/>
          <w:sz w:val="28"/>
          <w:szCs w:val="28"/>
        </w:rPr>
        <w:t>點附表</w:t>
      </w:r>
      <w:bookmarkEnd w:id="0"/>
      <w:r w:rsidR="009E4E5E" w:rsidRPr="002C5A77">
        <w:rPr>
          <w:rFonts w:ascii="標楷體" w:eastAsia="標楷體" w:hAnsi="標楷體" w:hint="eastAsia"/>
          <w:sz w:val="28"/>
          <w:szCs w:val="28"/>
        </w:rPr>
        <w:t>：國民旅遊卡特約商店業別及細項分類表</w:t>
      </w:r>
    </w:p>
    <w:p w:rsidR="004C06A7" w:rsidRPr="002C5A77" w:rsidRDefault="00AE054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</w:t>
      </w:r>
      <w:r w:rsidR="00930C9A" w:rsidRPr="002C5A77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768"/>
        <w:gridCol w:w="4115"/>
        <w:gridCol w:w="709"/>
        <w:gridCol w:w="1843"/>
        <w:gridCol w:w="4110"/>
        <w:gridCol w:w="1560"/>
      </w:tblGrid>
      <w:tr w:rsidR="00C00774" w:rsidRPr="009E4E5E" w:rsidTr="00C00774">
        <w:tc>
          <w:tcPr>
            <w:tcW w:w="6663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修正規定</w:t>
            </w:r>
          </w:p>
        </w:tc>
        <w:tc>
          <w:tcPr>
            <w:tcW w:w="6662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現行規定</w:t>
            </w:r>
          </w:p>
        </w:tc>
        <w:tc>
          <w:tcPr>
            <w:tcW w:w="1560" w:type="dxa"/>
            <w:vMerge w:val="restart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C00774" w:rsidRPr="009E4E5E" w:rsidTr="00C00774">
        <w:tc>
          <w:tcPr>
            <w:tcW w:w="2548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5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2552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0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1560" w:type="dxa"/>
            <w:vMerge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0F4BE6" w:rsidRPr="002C5A77" w:rsidRDefault="000F4BE6" w:rsidP="004751A6">
            <w:pPr>
              <w:spacing w:line="340" w:lineRule="exact"/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F4BE6" w:rsidRPr="002C5A77" w:rsidRDefault="000F4BE6" w:rsidP="002C5A77">
            <w:pPr>
              <w:spacing w:line="340" w:lineRule="exact"/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</w:t>
            </w:r>
            <w:proofErr w:type="gramStart"/>
            <w:r w:rsidRPr="002C5A77">
              <w:rPr>
                <w:rFonts w:ascii="標楷體" w:eastAsia="標楷體" w:hAnsi="標楷體" w:cs="Times New Roman" w:hint="eastAsia"/>
                <w:szCs w:val="24"/>
              </w:rPr>
              <w:t>飲料店業</w:t>
            </w:r>
            <w:proofErr w:type="gramEnd"/>
            <w:r w:rsidRPr="002C5A77">
              <w:rPr>
                <w:rFonts w:ascii="標楷體" w:eastAsia="標楷體" w:hAnsi="標楷體" w:cs="Times New Roman" w:hint="eastAsia"/>
                <w:szCs w:val="24"/>
              </w:rPr>
              <w:t>、餐館業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</w:t>
            </w:r>
            <w:proofErr w:type="gramStart"/>
            <w:r w:rsidRPr="002C5A77">
              <w:rPr>
                <w:rFonts w:ascii="標楷體" w:eastAsia="標楷體" w:hAnsi="標楷體" w:cs="Times New Roman" w:hint="eastAsia"/>
                <w:szCs w:val="24"/>
              </w:rPr>
              <w:t>飲料店業</w:t>
            </w:r>
            <w:proofErr w:type="gramEnd"/>
            <w:r w:rsidRPr="002C5A77">
              <w:rPr>
                <w:rFonts w:ascii="標楷體" w:eastAsia="標楷體" w:hAnsi="標楷體" w:cs="Times New Roman" w:hint="eastAsia"/>
                <w:szCs w:val="24"/>
              </w:rPr>
              <w:t>、餐館業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</w:t>
            </w:r>
            <w:proofErr w:type="gramStart"/>
            <w:r w:rsidRPr="002C5A77">
              <w:rPr>
                <w:rFonts w:ascii="標楷體" w:eastAsia="標楷體" w:hAnsi="標楷體" w:cs="Times New Roman" w:hint="eastAsia"/>
                <w:szCs w:val="24"/>
              </w:rPr>
              <w:t>農畜水產品</w:t>
            </w:r>
            <w:proofErr w:type="gramEnd"/>
            <w:r w:rsidRPr="002C5A77">
              <w:rPr>
                <w:rFonts w:ascii="標楷體" w:eastAsia="標楷體" w:hAnsi="標楷體" w:cs="Times New Roman" w:hint="eastAsia"/>
                <w:szCs w:val="24"/>
              </w:rPr>
              <w:t>零售業、其他木製品製造業、其他農事服務業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</w:t>
            </w:r>
            <w:proofErr w:type="gramStart"/>
            <w:r w:rsidRPr="002C5A77">
              <w:rPr>
                <w:rFonts w:ascii="標楷體" w:eastAsia="標楷體" w:hAnsi="標楷體" w:cs="Times New Roman" w:hint="eastAsia"/>
                <w:szCs w:val="24"/>
              </w:rPr>
              <w:t>農畜水產品</w:t>
            </w:r>
            <w:proofErr w:type="gramEnd"/>
            <w:r w:rsidRPr="002C5A77">
              <w:rPr>
                <w:rFonts w:ascii="標楷體" w:eastAsia="標楷體" w:hAnsi="標楷體" w:cs="Times New Roman" w:hint="eastAsia"/>
                <w:szCs w:val="24"/>
              </w:rPr>
              <w:t>零售業、其他木製品製造業、其他農事服務業</w:t>
            </w:r>
          </w:p>
        </w:tc>
        <w:tc>
          <w:tcPr>
            <w:tcW w:w="1560" w:type="dxa"/>
          </w:tcPr>
          <w:p w:rsidR="000F4BE6" w:rsidRPr="002C5A77" w:rsidRDefault="00597B85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體育用品業、體育用品器材零售業、</w:t>
            </w:r>
            <w:r w:rsidR="00CE18DF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自行車專賣店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</w:t>
            </w:r>
          </w:p>
        </w:tc>
        <w:tc>
          <w:tcPr>
            <w:tcW w:w="1560" w:type="dxa"/>
          </w:tcPr>
          <w:p w:rsidR="000F4BE6" w:rsidRPr="002C5A77" w:rsidRDefault="008A7AB0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審酌自行車實際上已於「觀光休閒及藝文業別」/「體育用品」內特約商店銷售，且自行車與觀光旅遊關連性較高，開放有助於提振觀光，</w:t>
            </w:r>
            <w:proofErr w:type="gramStart"/>
            <w:r w:rsidRPr="002C5A77"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 w:rsidRPr="002C5A77">
              <w:rPr>
                <w:rFonts w:ascii="標楷體" w:eastAsia="標楷體" w:hAnsi="標楷體" w:cs="Times New Roman" w:hint="eastAsia"/>
                <w:szCs w:val="24"/>
              </w:rPr>
              <w:t>於「觀光休閒及藝文業別」/「體育用品」增列「自行車專賣店」。</w:t>
            </w:r>
          </w:p>
        </w:tc>
      </w:tr>
      <w:tr w:rsidR="000F4BE6" w:rsidRPr="009E4E5E" w:rsidTr="00C74BAA"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攝影器材及沖洗專賣店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</w:p>
        </w:tc>
        <w:tc>
          <w:tcPr>
            <w:tcW w:w="1560" w:type="dxa"/>
          </w:tcPr>
          <w:p w:rsidR="000F4BE6" w:rsidRPr="002C5A77" w:rsidRDefault="001A53C9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考量國人從事旅遊多會利用攝影器材及沖洗服務，該行業與觀光旅遊關連性較高，開放有助於提振觀光，</w:t>
            </w:r>
            <w:proofErr w:type="gramStart"/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t>爰</w:t>
            </w:r>
            <w:proofErr w:type="gramEnd"/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t>放</w:t>
            </w:r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lastRenderedPageBreak/>
              <w:t>寬「攝影器材行」及「沖洗專賣店」納入其他觀光服務業類別。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lastRenderedPageBreak/>
              <w:t>商圈業別</w:t>
            </w:r>
          </w:p>
        </w:tc>
        <w:tc>
          <w:tcPr>
            <w:tcW w:w="1768" w:type="dxa"/>
          </w:tcPr>
          <w:p w:rsidR="001A53C9" w:rsidRPr="002C5A77" w:rsidRDefault="00CE18DF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商圈業別</w:t>
            </w: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</w:t>
            </w:r>
            <w:proofErr w:type="gramStart"/>
            <w:r w:rsidRPr="002C5A77">
              <w:rPr>
                <w:rFonts w:ascii="標楷體" w:eastAsia="標楷體" w:hAnsi="標楷體" w:hint="eastAsia"/>
                <w:szCs w:val="24"/>
              </w:rPr>
              <w:t>護膚業</w:t>
            </w:r>
            <w:proofErr w:type="gramEnd"/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</w:t>
            </w:r>
            <w:proofErr w:type="gramStart"/>
            <w:r w:rsidRPr="002C5A77">
              <w:rPr>
                <w:rFonts w:ascii="標楷體" w:eastAsia="標楷體" w:hAnsi="標楷體" w:hint="eastAsia"/>
                <w:szCs w:val="24"/>
              </w:rPr>
              <w:t>護膚業</w:t>
            </w:r>
            <w:proofErr w:type="gramEnd"/>
            <w:r w:rsidRPr="002C5A77">
              <w:rPr>
                <w:rFonts w:ascii="標楷體" w:eastAsia="標楷體" w:hAnsi="標楷體" w:hint="eastAsia"/>
                <w:szCs w:val="24"/>
              </w:rPr>
              <w:t>、化妝品零售業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</w:t>
            </w:r>
            <w:proofErr w:type="gramStart"/>
            <w:r w:rsidRPr="002C5A77">
              <w:rPr>
                <w:rFonts w:ascii="標楷體" w:eastAsia="標楷體" w:hAnsi="標楷體" w:hint="eastAsia"/>
                <w:szCs w:val="24"/>
              </w:rPr>
              <w:t>護膚業</w:t>
            </w:r>
            <w:proofErr w:type="gramEnd"/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</w:t>
            </w:r>
            <w:proofErr w:type="gramStart"/>
            <w:r w:rsidRPr="002C5A77">
              <w:rPr>
                <w:rFonts w:ascii="標楷體" w:eastAsia="標楷體" w:hAnsi="標楷體" w:hint="eastAsia"/>
                <w:szCs w:val="24"/>
              </w:rPr>
              <w:t>護膚業</w:t>
            </w:r>
            <w:proofErr w:type="gramEnd"/>
            <w:r w:rsidRPr="002C5A77">
              <w:rPr>
                <w:rFonts w:ascii="標楷體" w:eastAsia="標楷體" w:hAnsi="標楷體" w:hint="eastAsia"/>
                <w:szCs w:val="24"/>
              </w:rPr>
              <w:t>、化妝品零售業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</w:t>
            </w:r>
            <w:proofErr w:type="gramStart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食品什貨零售業</w:t>
            </w:r>
            <w:proofErr w:type="gramEnd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、其他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</w:t>
            </w:r>
            <w:proofErr w:type="gramStart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食品什貨零售業</w:t>
            </w:r>
            <w:proofErr w:type="gramEnd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、其他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9779C1" w:rsidRPr="009E4E5E" w:rsidTr="004751A6">
        <w:tc>
          <w:tcPr>
            <w:tcW w:w="780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883" w:type="dxa"/>
            <w:gridSpan w:val="2"/>
          </w:tcPr>
          <w:p w:rsidR="002C5A77" w:rsidRDefault="002C5A77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</w:t>
            </w:r>
            <w:proofErr w:type="gramStart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proofErr w:type="gramEnd"/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刷卡消費，核實補助。</w:t>
            </w:r>
          </w:p>
          <w:p w:rsidR="009779C1" w:rsidRPr="004751A6" w:rsidRDefault="004751A6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2C5A77">
              <w:rPr>
                <w:rFonts w:ascii="標楷體" w:eastAsia="標楷體" w:hAnsi="標楷體" w:cs="Times New Roman" w:hint="eastAsia"/>
                <w:strike/>
                <w:szCs w:val="24"/>
              </w:rPr>
              <w:t>攝影器材行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、一般家具、百貨公司、量販店、超級市場、醫院（診所）、藥局等行業。</w:t>
            </w:r>
          </w:p>
        </w:tc>
        <w:tc>
          <w:tcPr>
            <w:tcW w:w="709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953" w:type="dxa"/>
            <w:gridSpan w:val="2"/>
          </w:tcPr>
          <w:p w:rsidR="009779C1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</w:t>
            </w:r>
            <w:proofErr w:type="gramStart"/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proofErr w:type="gramEnd"/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刷卡消費，核實補助。</w:t>
            </w:r>
          </w:p>
          <w:p w:rsidR="009779C1" w:rsidRPr="004751A6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AE054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攝影器材行、</w:t>
            </w: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一般家具、百貨公司、量販店、超級市場、醫院（診所）、藥局等行業。</w:t>
            </w:r>
          </w:p>
        </w:tc>
        <w:tc>
          <w:tcPr>
            <w:tcW w:w="1560" w:type="dxa"/>
          </w:tcPr>
          <w:p w:rsidR="009779C1" w:rsidRPr="002C5A77" w:rsidRDefault="00090BA9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配合前揭開放業別情形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，將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攝影器材行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予以刪除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9E4E5E" w:rsidRPr="009E4E5E" w:rsidRDefault="009E4E5E"/>
    <w:sectPr w:rsidR="009E4E5E" w:rsidRPr="009E4E5E" w:rsidSect="004751A6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CA" w:rsidRDefault="009F1ACA" w:rsidP="00930C9A">
      <w:r>
        <w:separator/>
      </w:r>
    </w:p>
  </w:endnote>
  <w:endnote w:type="continuationSeparator" w:id="0">
    <w:p w:rsidR="009F1ACA" w:rsidRDefault="009F1ACA" w:rsidP="009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CA" w:rsidRDefault="009F1ACA" w:rsidP="00930C9A">
      <w:r>
        <w:separator/>
      </w:r>
    </w:p>
  </w:footnote>
  <w:footnote w:type="continuationSeparator" w:id="0">
    <w:p w:rsidR="009F1ACA" w:rsidRDefault="009F1ACA" w:rsidP="0093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3"/>
    <w:multiLevelType w:val="hybridMultilevel"/>
    <w:tmpl w:val="CACCB046"/>
    <w:lvl w:ilvl="0" w:tplc="72AA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9D75A6"/>
    <w:multiLevelType w:val="hybridMultilevel"/>
    <w:tmpl w:val="5D529B0C"/>
    <w:lvl w:ilvl="0" w:tplc="50182ED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086577"/>
    <w:rsid w:val="00090BA9"/>
    <w:rsid w:val="00095B7C"/>
    <w:rsid w:val="000F4BE6"/>
    <w:rsid w:val="001A53C9"/>
    <w:rsid w:val="00222D3A"/>
    <w:rsid w:val="002A1348"/>
    <w:rsid w:val="002C5A77"/>
    <w:rsid w:val="003021BD"/>
    <w:rsid w:val="004751A6"/>
    <w:rsid w:val="004C06A7"/>
    <w:rsid w:val="00597B85"/>
    <w:rsid w:val="005E1D39"/>
    <w:rsid w:val="006940A3"/>
    <w:rsid w:val="007E7B97"/>
    <w:rsid w:val="008A7AB0"/>
    <w:rsid w:val="008F3BD1"/>
    <w:rsid w:val="00930C9A"/>
    <w:rsid w:val="009779C1"/>
    <w:rsid w:val="00986252"/>
    <w:rsid w:val="009E4E5E"/>
    <w:rsid w:val="009F1ACA"/>
    <w:rsid w:val="00A142BA"/>
    <w:rsid w:val="00AE0547"/>
    <w:rsid w:val="00BB53DE"/>
    <w:rsid w:val="00C00774"/>
    <w:rsid w:val="00C66188"/>
    <w:rsid w:val="00C74BAA"/>
    <w:rsid w:val="00CA1CE3"/>
    <w:rsid w:val="00C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8C34-A097-4636-B5B8-13CE568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2013-09-27T06:22:00Z</cp:lastPrinted>
  <dcterms:created xsi:type="dcterms:W3CDTF">2013-10-16T00:13:00Z</dcterms:created>
  <dcterms:modified xsi:type="dcterms:W3CDTF">2013-10-16T00:13:00Z</dcterms:modified>
</cp:coreProperties>
</file>