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5A" w:rsidRPr="007C567D" w:rsidRDefault="00724F5A" w:rsidP="00724F5A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7C567D">
        <w:rPr>
          <w:rFonts w:ascii="標楷體" w:eastAsia="標楷體" w:hAnsi="標楷體" w:hint="eastAsia"/>
          <w:b/>
          <w:sz w:val="32"/>
          <w:szCs w:val="32"/>
        </w:rPr>
        <w:t>教育部國民及學前教育署補助國民小學充實行政人力實施要點</w:t>
      </w:r>
    </w:p>
    <w:p w:rsidR="00724F5A" w:rsidRPr="007C567D" w:rsidRDefault="00724F5A" w:rsidP="00724F5A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7C567D">
        <w:rPr>
          <w:rFonts w:ascii="標楷體" w:eastAsia="標楷體" w:hAnsi="標楷體" w:hint="eastAsia"/>
          <w:b/>
          <w:sz w:val="32"/>
          <w:szCs w:val="32"/>
        </w:rPr>
        <w:t>修正規定</w:t>
      </w:r>
    </w:p>
    <w:p w:rsidR="00724F5A" w:rsidRPr="007C567D" w:rsidRDefault="00724F5A" w:rsidP="00724F5A">
      <w:pPr>
        <w:pStyle w:val="0221"/>
        <w:numPr>
          <w:ilvl w:val="0"/>
          <w:numId w:val="4"/>
        </w:numPr>
        <w:tabs>
          <w:tab w:val="left" w:pos="567"/>
        </w:tabs>
        <w:ind w:left="567" w:hanging="567"/>
        <w:rPr>
          <w:rFonts w:ascii="標楷體" w:eastAsia="標楷體" w:hAnsi="標楷體"/>
          <w:color w:val="333333"/>
          <w:sz w:val="27"/>
          <w:szCs w:val="27"/>
        </w:rPr>
      </w:pPr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目的：教育部國民及學前教育署（以下簡稱本署）為充實國民小學行政人力，減輕  行政人員工作負擔，改善學校工作環境，特訂定本要點。</w:t>
      </w:r>
    </w:p>
    <w:p w:rsidR="00724F5A" w:rsidRPr="007C567D" w:rsidRDefault="00724F5A" w:rsidP="00724F5A">
      <w:pPr>
        <w:pStyle w:val="0221"/>
        <w:numPr>
          <w:ilvl w:val="0"/>
          <w:numId w:val="4"/>
        </w:numPr>
        <w:tabs>
          <w:tab w:val="left" w:pos="567"/>
        </w:tabs>
        <w:ind w:left="567" w:hanging="567"/>
        <w:rPr>
          <w:rFonts w:ascii="標楷體" w:eastAsia="標楷體" w:hAnsi="標楷體"/>
          <w:color w:val="333333"/>
          <w:sz w:val="27"/>
          <w:szCs w:val="27"/>
        </w:rPr>
      </w:pPr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補助對象：</w:t>
      </w:r>
    </w:p>
    <w:p w:rsidR="00724F5A" w:rsidRPr="007C567D" w:rsidRDefault="00724F5A" w:rsidP="00724F5A">
      <w:pPr>
        <w:pStyle w:val="0222"/>
        <w:numPr>
          <w:ilvl w:val="0"/>
          <w:numId w:val="5"/>
        </w:numPr>
        <w:ind w:left="709" w:hanging="567"/>
        <w:rPr>
          <w:rFonts w:ascii="標楷體" w:eastAsia="標楷體" w:hAnsi="標楷體"/>
          <w:color w:val="333333"/>
          <w:sz w:val="27"/>
          <w:szCs w:val="27"/>
        </w:rPr>
      </w:pPr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直轄市、縣（市）政府。</w:t>
      </w:r>
    </w:p>
    <w:p w:rsidR="00724F5A" w:rsidRPr="007C567D" w:rsidRDefault="00724F5A" w:rsidP="00724F5A">
      <w:pPr>
        <w:pStyle w:val="0222"/>
        <w:numPr>
          <w:ilvl w:val="0"/>
          <w:numId w:val="5"/>
        </w:numPr>
        <w:ind w:left="709" w:hanging="567"/>
        <w:rPr>
          <w:rFonts w:ascii="標楷體" w:eastAsia="標楷體" w:hAnsi="標楷體"/>
          <w:color w:val="333333"/>
          <w:sz w:val="27"/>
          <w:szCs w:val="27"/>
        </w:rPr>
      </w:pPr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國立大學（實驗高中）附設實驗國民小學（以下簡稱國立附設小學）。</w:t>
      </w:r>
    </w:p>
    <w:p w:rsidR="00724F5A" w:rsidRPr="007C567D" w:rsidRDefault="00724F5A" w:rsidP="00724F5A">
      <w:pPr>
        <w:pStyle w:val="0221"/>
        <w:numPr>
          <w:ilvl w:val="0"/>
          <w:numId w:val="4"/>
        </w:numPr>
        <w:tabs>
          <w:tab w:val="left" w:pos="567"/>
        </w:tabs>
        <w:ind w:left="567" w:hanging="567"/>
        <w:rPr>
          <w:rFonts w:ascii="標楷體" w:eastAsia="標楷體" w:hAnsi="標楷體"/>
          <w:color w:val="333333"/>
          <w:sz w:val="27"/>
          <w:szCs w:val="27"/>
        </w:rPr>
      </w:pPr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補助原則：</w:t>
      </w:r>
    </w:p>
    <w:p w:rsidR="00724F5A" w:rsidRPr="007C567D" w:rsidRDefault="00724F5A" w:rsidP="00724F5A">
      <w:pPr>
        <w:pStyle w:val="0222"/>
        <w:numPr>
          <w:ilvl w:val="0"/>
          <w:numId w:val="6"/>
        </w:numPr>
        <w:ind w:left="709" w:hanging="567"/>
        <w:rPr>
          <w:rFonts w:ascii="標楷體" w:eastAsia="標楷體" w:hAnsi="標楷體"/>
          <w:color w:val="333333"/>
          <w:sz w:val="27"/>
          <w:szCs w:val="27"/>
        </w:rPr>
      </w:pPr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公私立國民小學（以下簡稱學校），總班級數達九班至</w:t>
      </w:r>
      <w:proofErr w:type="gramStart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二十班者</w:t>
      </w:r>
      <w:proofErr w:type="gramEnd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，始得予以補助，並以每校配置行政人力一人，每校最高補助新臺幣五十二萬元為原則；實際補助金額，須視年度預算而定。</w:t>
      </w:r>
    </w:p>
    <w:p w:rsidR="00724F5A" w:rsidRPr="007C567D" w:rsidRDefault="00724F5A" w:rsidP="00724F5A">
      <w:pPr>
        <w:pStyle w:val="0222"/>
        <w:numPr>
          <w:ilvl w:val="0"/>
          <w:numId w:val="6"/>
        </w:numPr>
        <w:ind w:left="709" w:hanging="567"/>
        <w:rPr>
          <w:rFonts w:ascii="標楷體" w:eastAsia="標楷體" w:hAnsi="標楷體"/>
          <w:color w:val="333333"/>
          <w:sz w:val="27"/>
          <w:szCs w:val="27"/>
        </w:rPr>
      </w:pPr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前款之班級數，包括分校、分班班級數，並</w:t>
      </w:r>
      <w:r w:rsidRPr="007C567D">
        <w:rPr>
          <w:rFonts w:ascii="標楷體" w:eastAsia="標楷體" w:hAnsi="標楷體"/>
          <w:color w:val="333333"/>
          <w:sz w:val="27"/>
          <w:szCs w:val="27"/>
        </w:rPr>
        <w:t>以</w:t>
      </w:r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該校申請年度十二月</w:t>
      </w:r>
      <w:r w:rsidRPr="007C567D">
        <w:rPr>
          <w:rFonts w:ascii="標楷體" w:eastAsia="標楷體" w:hAnsi="標楷體"/>
          <w:color w:val="333333"/>
          <w:sz w:val="27"/>
          <w:szCs w:val="27"/>
        </w:rPr>
        <w:t>之總班級數為</w:t>
      </w:r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計算基準</w:t>
      </w:r>
      <w:r w:rsidRPr="007C567D">
        <w:rPr>
          <w:rFonts w:ascii="標楷體" w:eastAsia="標楷體" w:hAnsi="標楷體"/>
          <w:color w:val="333333"/>
          <w:sz w:val="27"/>
          <w:szCs w:val="27"/>
        </w:rPr>
        <w:t>，</w:t>
      </w:r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其次年度再申請補助時之班級總數有變更者，以次年度十二月變更後之總班級數為計算基準，以此類推。</w:t>
      </w:r>
    </w:p>
    <w:p w:rsidR="00724F5A" w:rsidRPr="007C567D" w:rsidRDefault="00DE24E4" w:rsidP="00724F5A">
      <w:pPr>
        <w:pStyle w:val="0222"/>
        <w:numPr>
          <w:ilvl w:val="0"/>
          <w:numId w:val="6"/>
        </w:numPr>
        <w:ind w:left="709" w:hanging="567"/>
        <w:rPr>
          <w:rFonts w:ascii="標楷體" w:eastAsia="標楷體" w:hAnsi="標楷體"/>
          <w:color w:val="333333"/>
          <w:sz w:val="27"/>
          <w:szCs w:val="27"/>
        </w:rPr>
      </w:pPr>
      <w:r>
        <w:rPr>
          <w:rFonts w:ascii="標楷體" w:eastAsia="標楷體" w:hAnsi="標楷體" w:hint="eastAsia"/>
          <w:color w:val="333333"/>
          <w:sz w:val="27"/>
          <w:szCs w:val="27"/>
        </w:rPr>
        <w:t>本要點僅補助行政人員之薪資、全民健康保險、勞工保險</w:t>
      </w:r>
      <w:r w:rsidR="004E7364">
        <w:rPr>
          <w:rFonts w:ascii="標楷體" w:eastAsia="標楷體" w:hAnsi="標楷體" w:hint="eastAsia"/>
          <w:color w:val="333333"/>
          <w:sz w:val="27"/>
          <w:szCs w:val="27"/>
        </w:rPr>
        <w:t>、</w:t>
      </w:r>
      <w:r w:rsidR="004E7364" w:rsidRPr="007C567D">
        <w:rPr>
          <w:rFonts w:ascii="標楷體" w:eastAsia="標楷體" w:hAnsi="標楷體" w:hint="eastAsia"/>
          <w:color w:val="333333"/>
          <w:sz w:val="27"/>
          <w:szCs w:val="27"/>
        </w:rPr>
        <w:t>年終工作獎金</w:t>
      </w:r>
      <w:r>
        <w:rPr>
          <w:rFonts w:ascii="標楷體" w:eastAsia="標楷體" w:hAnsi="標楷體" w:hint="eastAsia"/>
          <w:color w:val="333333"/>
          <w:sz w:val="27"/>
          <w:szCs w:val="27"/>
        </w:rPr>
        <w:t>及</w:t>
      </w:r>
      <w:r w:rsidR="004E7364">
        <w:rPr>
          <w:rFonts w:ascii="標楷體" w:eastAsia="標楷體" w:hAnsi="標楷體" w:hint="eastAsia"/>
          <w:color w:val="333333"/>
          <w:sz w:val="27"/>
          <w:szCs w:val="27"/>
        </w:rPr>
        <w:t>各機關學校聘僱人員離職儲金給與辦法規定提存之公提儲金</w:t>
      </w:r>
      <w:r>
        <w:rPr>
          <w:rFonts w:ascii="標楷體" w:eastAsia="標楷體" w:hAnsi="標楷體" w:hint="eastAsia"/>
          <w:color w:val="333333"/>
          <w:sz w:val="27"/>
          <w:szCs w:val="27"/>
        </w:rPr>
        <w:t>。</w:t>
      </w:r>
    </w:p>
    <w:p w:rsidR="00724F5A" w:rsidRPr="007C567D" w:rsidRDefault="00724F5A" w:rsidP="00724F5A">
      <w:pPr>
        <w:pStyle w:val="0221"/>
        <w:numPr>
          <w:ilvl w:val="0"/>
          <w:numId w:val="4"/>
        </w:numPr>
        <w:tabs>
          <w:tab w:val="left" w:pos="567"/>
        </w:tabs>
        <w:ind w:left="567" w:hanging="567"/>
        <w:rPr>
          <w:rFonts w:ascii="標楷體" w:eastAsia="標楷體" w:hAnsi="標楷體"/>
          <w:color w:val="333333"/>
          <w:sz w:val="27"/>
          <w:szCs w:val="27"/>
        </w:rPr>
      </w:pPr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實施方式：</w:t>
      </w:r>
    </w:p>
    <w:p w:rsidR="00724F5A" w:rsidRPr="007C567D" w:rsidRDefault="00724F5A" w:rsidP="00724F5A">
      <w:pPr>
        <w:pStyle w:val="0222"/>
        <w:numPr>
          <w:ilvl w:val="0"/>
          <w:numId w:val="7"/>
        </w:numPr>
        <w:ind w:left="709" w:hanging="567"/>
        <w:rPr>
          <w:rFonts w:ascii="標楷體" w:eastAsia="標楷體" w:hAnsi="標楷體"/>
          <w:color w:val="333333"/>
          <w:sz w:val="27"/>
          <w:szCs w:val="27"/>
        </w:rPr>
      </w:pPr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本要點之專任行政人力，得依行政院暨所屬機關約</w:t>
      </w:r>
      <w:proofErr w:type="gramStart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僱</w:t>
      </w:r>
      <w:proofErr w:type="gramEnd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人員僱用辦法或直轄市、縣（市）政府相關規定辦理。</w:t>
      </w:r>
    </w:p>
    <w:p w:rsidR="00724F5A" w:rsidRPr="007C567D" w:rsidRDefault="00724F5A" w:rsidP="00724F5A">
      <w:pPr>
        <w:pStyle w:val="0222"/>
        <w:numPr>
          <w:ilvl w:val="0"/>
          <w:numId w:val="7"/>
        </w:numPr>
        <w:ind w:left="709" w:hanging="567"/>
        <w:rPr>
          <w:rFonts w:ascii="標楷體" w:eastAsia="標楷體" w:hAnsi="標楷體"/>
          <w:color w:val="333333"/>
          <w:sz w:val="27"/>
          <w:szCs w:val="27"/>
        </w:rPr>
      </w:pPr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直轄市、縣（市）政府應邀集教師代表及學校代表，依學校人力資源統合各項條件</w:t>
      </w:r>
      <w:proofErr w:type="gramStart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研</w:t>
      </w:r>
      <w:proofErr w:type="gramEnd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訂計畫。</w:t>
      </w:r>
    </w:p>
    <w:p w:rsidR="00724F5A" w:rsidRPr="007C567D" w:rsidRDefault="00724F5A" w:rsidP="00724F5A">
      <w:pPr>
        <w:pStyle w:val="0222"/>
        <w:numPr>
          <w:ilvl w:val="0"/>
          <w:numId w:val="7"/>
        </w:numPr>
        <w:ind w:left="709" w:hanging="567"/>
        <w:rPr>
          <w:rFonts w:ascii="標楷體" w:eastAsia="標楷體" w:hAnsi="標楷體"/>
          <w:color w:val="333333"/>
          <w:sz w:val="27"/>
          <w:szCs w:val="27"/>
        </w:rPr>
      </w:pPr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前款計畫，應包括行政人力之人數、補助學校原則、</w:t>
      </w:r>
      <w:proofErr w:type="gramStart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各校進用</w:t>
      </w:r>
      <w:proofErr w:type="gramEnd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人員之資格條件、甄選方式及考核方式等事項，其餘相關內容，由直轄市、縣（市）政府依需求定之；並應以達成本要點目的之方向，作全面規劃及調整，以力求均衡。</w:t>
      </w:r>
    </w:p>
    <w:p w:rsidR="00724F5A" w:rsidRPr="007C567D" w:rsidRDefault="00724F5A" w:rsidP="00724F5A">
      <w:pPr>
        <w:pStyle w:val="0222"/>
        <w:numPr>
          <w:ilvl w:val="0"/>
          <w:numId w:val="7"/>
        </w:numPr>
        <w:ind w:left="709" w:hanging="567"/>
        <w:rPr>
          <w:rFonts w:ascii="標楷體" w:eastAsia="標楷體" w:hAnsi="標楷體"/>
          <w:color w:val="333333"/>
          <w:sz w:val="27"/>
          <w:szCs w:val="27"/>
        </w:rPr>
      </w:pPr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學校得依需求</w:t>
      </w:r>
      <w:proofErr w:type="gramStart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採</w:t>
      </w:r>
      <w:proofErr w:type="gramEnd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數校共同僱用方式辦理，以其中一校為僱用學校，並以任務指派方式辦理他校業務。</w:t>
      </w:r>
    </w:p>
    <w:p w:rsidR="00724F5A" w:rsidRPr="007C567D" w:rsidRDefault="00724F5A" w:rsidP="00724F5A">
      <w:pPr>
        <w:pStyle w:val="0222"/>
        <w:numPr>
          <w:ilvl w:val="0"/>
          <w:numId w:val="7"/>
        </w:numPr>
        <w:ind w:left="709" w:hanging="567"/>
        <w:rPr>
          <w:rFonts w:ascii="標楷體" w:eastAsia="標楷體" w:hAnsi="標楷體"/>
          <w:color w:val="333333"/>
          <w:sz w:val="27"/>
          <w:szCs w:val="27"/>
        </w:rPr>
      </w:pPr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進用人員之工作內容，以學校行政事務為主，如圖書室、專科教室與教具室之管理工作及</w:t>
      </w:r>
      <w:proofErr w:type="gramStart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各處、</w:t>
      </w:r>
      <w:proofErr w:type="gramEnd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室文書、輔助教學工作等，由學校依需求甄選之。</w:t>
      </w:r>
    </w:p>
    <w:p w:rsidR="00724F5A" w:rsidRPr="007C567D" w:rsidRDefault="00724F5A" w:rsidP="00724F5A">
      <w:pPr>
        <w:pStyle w:val="0221"/>
        <w:numPr>
          <w:ilvl w:val="0"/>
          <w:numId w:val="4"/>
        </w:numPr>
        <w:tabs>
          <w:tab w:val="left" w:pos="567"/>
        </w:tabs>
        <w:ind w:left="567" w:hanging="567"/>
        <w:rPr>
          <w:rFonts w:ascii="標楷體" w:eastAsia="標楷體" w:hAnsi="標楷體"/>
          <w:color w:val="333333"/>
          <w:sz w:val="27"/>
          <w:szCs w:val="27"/>
        </w:rPr>
      </w:pPr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計畫申請及審查：第二點補助對象應依本要點規定，於每年十月三十日前檢具計畫（包括經費概算表），</w:t>
      </w:r>
      <w:proofErr w:type="gramStart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向本署申請</w:t>
      </w:r>
      <w:proofErr w:type="gramEnd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補助。</w:t>
      </w:r>
      <w:proofErr w:type="gramStart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本署於</w:t>
      </w:r>
      <w:proofErr w:type="gramEnd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每年十一月三十日前審查所報計畫，必要時得組成評審小組審查之。</w:t>
      </w:r>
    </w:p>
    <w:p w:rsidR="00724F5A" w:rsidRPr="007C567D" w:rsidRDefault="00724F5A" w:rsidP="00724F5A">
      <w:pPr>
        <w:pStyle w:val="0221"/>
        <w:numPr>
          <w:ilvl w:val="0"/>
          <w:numId w:val="4"/>
        </w:numPr>
        <w:tabs>
          <w:tab w:val="left" w:pos="567"/>
        </w:tabs>
        <w:ind w:left="567" w:hanging="567"/>
        <w:rPr>
          <w:rFonts w:ascii="標楷體" w:eastAsia="標楷體" w:hAnsi="標楷體"/>
          <w:color w:val="333333"/>
          <w:sz w:val="27"/>
          <w:szCs w:val="27"/>
        </w:rPr>
      </w:pPr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經費請撥及核銷：</w:t>
      </w:r>
    </w:p>
    <w:p w:rsidR="00724F5A" w:rsidRPr="007C567D" w:rsidRDefault="00724F5A" w:rsidP="00724F5A">
      <w:pPr>
        <w:pStyle w:val="0222"/>
        <w:numPr>
          <w:ilvl w:val="0"/>
          <w:numId w:val="8"/>
        </w:numPr>
        <w:ind w:left="709" w:hanging="567"/>
        <w:rPr>
          <w:rFonts w:ascii="標楷體" w:eastAsia="標楷體" w:hAnsi="標楷體"/>
          <w:color w:val="333333"/>
          <w:sz w:val="27"/>
          <w:szCs w:val="27"/>
        </w:rPr>
      </w:pPr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本要點所定補助，係全額補助直轄市、縣（市）政府及國立附設小學，應於立法院就補助之預算審議通過後，始得執行。</w:t>
      </w:r>
    </w:p>
    <w:p w:rsidR="00724F5A" w:rsidRPr="007C567D" w:rsidRDefault="00724F5A" w:rsidP="00724F5A">
      <w:pPr>
        <w:pStyle w:val="0222"/>
        <w:numPr>
          <w:ilvl w:val="0"/>
          <w:numId w:val="8"/>
        </w:numPr>
        <w:ind w:left="709" w:hanging="567"/>
        <w:rPr>
          <w:rFonts w:ascii="標楷體" w:eastAsia="標楷體" w:hAnsi="標楷體"/>
          <w:color w:val="333333"/>
          <w:sz w:val="27"/>
          <w:szCs w:val="27"/>
        </w:rPr>
      </w:pPr>
      <w:r w:rsidRPr="007C567D">
        <w:rPr>
          <w:rFonts w:ascii="標楷體" w:eastAsia="標楷體" w:hAnsi="標楷體" w:hint="eastAsia"/>
          <w:color w:val="333333"/>
          <w:sz w:val="27"/>
          <w:szCs w:val="27"/>
        </w:rPr>
        <w:lastRenderedPageBreak/>
        <w:t>直轄市、縣（市）政府對經費之執行支用，應依行政院預算之執行規定，本要點之補助款，應依中央對直轄市及縣（市）政府補助辦法規定，納入地方預算，並依各級地方政府墊付款處理要點規定先行辦理墊付。</w:t>
      </w:r>
    </w:p>
    <w:p w:rsidR="00724F5A" w:rsidRPr="007C567D" w:rsidRDefault="00724F5A" w:rsidP="00724F5A">
      <w:pPr>
        <w:pStyle w:val="0222"/>
        <w:numPr>
          <w:ilvl w:val="0"/>
          <w:numId w:val="8"/>
        </w:numPr>
        <w:ind w:left="709" w:hanging="567"/>
        <w:rPr>
          <w:rFonts w:ascii="標楷體" w:eastAsia="標楷體" w:hAnsi="標楷體"/>
          <w:color w:val="333333"/>
          <w:sz w:val="27"/>
          <w:szCs w:val="27"/>
        </w:rPr>
      </w:pPr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對直轄市、縣（市）政府之補助，</w:t>
      </w:r>
      <w:proofErr w:type="gramStart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於本署補助</w:t>
      </w:r>
      <w:proofErr w:type="gramEnd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經費核定後，按每年一月、五月及九月分三期撥付，第一期撥補補助經費總額之百分之六十，第二期撥補補助經費總額之百分之三十，第三期撥補補助經費總額之百分之十。國立附設小學，則</w:t>
      </w:r>
      <w:proofErr w:type="gramStart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採</w:t>
      </w:r>
      <w:proofErr w:type="gramEnd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一次撥付之方式。</w:t>
      </w:r>
    </w:p>
    <w:p w:rsidR="00724F5A" w:rsidRPr="007C567D" w:rsidRDefault="00724F5A" w:rsidP="00724F5A">
      <w:pPr>
        <w:pStyle w:val="0222"/>
        <w:numPr>
          <w:ilvl w:val="0"/>
          <w:numId w:val="8"/>
        </w:numPr>
        <w:ind w:left="709" w:hanging="567"/>
        <w:rPr>
          <w:rFonts w:ascii="標楷體" w:eastAsia="標楷體" w:hAnsi="標楷體"/>
          <w:color w:val="333333"/>
          <w:sz w:val="27"/>
          <w:szCs w:val="27"/>
        </w:rPr>
      </w:pPr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第一期款，由直轄市、縣（市）政府於每年一月</w:t>
      </w:r>
      <w:proofErr w:type="gramStart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掣</w:t>
      </w:r>
      <w:proofErr w:type="gramEnd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據，並檢具納入預算證明，</w:t>
      </w:r>
      <w:proofErr w:type="gramStart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報本署撥款</w:t>
      </w:r>
      <w:proofErr w:type="gramEnd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。第一期經費執行率達百分之七十以上者，由直轄市、縣（市）政府於每年五月</w:t>
      </w:r>
      <w:proofErr w:type="gramStart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掣</w:t>
      </w:r>
      <w:proofErr w:type="gramEnd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據，並檢具納入預算證明及補助經費</w:t>
      </w:r>
      <w:proofErr w:type="gramStart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請撥單</w:t>
      </w:r>
      <w:proofErr w:type="gramEnd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，報</w:t>
      </w:r>
      <w:proofErr w:type="gramStart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本署請</w:t>
      </w:r>
      <w:proofErr w:type="gramEnd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撥第二期款。第一期及第二期經費執行率達百分之七十以上者，由直轄市、縣（市）政府於每年九月</w:t>
      </w:r>
      <w:proofErr w:type="gramStart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掣</w:t>
      </w:r>
      <w:proofErr w:type="gramEnd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據，並檢具納入預算證明、補助經費</w:t>
      </w:r>
      <w:proofErr w:type="gramStart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請撥單及</w:t>
      </w:r>
      <w:proofErr w:type="gramEnd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學校第三期補助需求調查表，向</w:t>
      </w:r>
      <w:proofErr w:type="gramStart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本署請</w:t>
      </w:r>
      <w:proofErr w:type="gramEnd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撥第三期款。經費有結餘者，應</w:t>
      </w:r>
      <w:proofErr w:type="gramStart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依本署相關</w:t>
      </w:r>
      <w:proofErr w:type="gramEnd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規定辦理。</w:t>
      </w:r>
    </w:p>
    <w:p w:rsidR="00724F5A" w:rsidRPr="007C567D" w:rsidRDefault="00724F5A" w:rsidP="00724F5A">
      <w:pPr>
        <w:pStyle w:val="0222"/>
        <w:numPr>
          <w:ilvl w:val="0"/>
          <w:numId w:val="8"/>
        </w:numPr>
        <w:ind w:left="709" w:hanging="567"/>
        <w:rPr>
          <w:rFonts w:ascii="標楷體" w:eastAsia="標楷體" w:hAnsi="標楷體"/>
          <w:color w:val="333333"/>
          <w:sz w:val="27"/>
          <w:szCs w:val="27"/>
        </w:rPr>
      </w:pPr>
      <w:r w:rsidRPr="007C567D">
        <w:rPr>
          <w:rFonts w:ascii="標楷體" w:eastAsia="標楷體" w:hAnsi="標楷體"/>
          <w:color w:val="333333"/>
          <w:sz w:val="27"/>
          <w:szCs w:val="27"/>
        </w:rPr>
        <w:t xml:space="preserve"> </w:t>
      </w:r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直轄市、縣（市）政府及國立附設小學應於受領補助款之次年度二月份，檢</w:t>
      </w:r>
      <w:proofErr w:type="gramStart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具本署補助</w:t>
      </w:r>
      <w:proofErr w:type="gramEnd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經費收支結算表、成果報告表及應繳回之計畫結餘款項，報</w:t>
      </w:r>
      <w:proofErr w:type="gramStart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本署辦理核結</w:t>
      </w:r>
      <w:proofErr w:type="gramEnd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。</w:t>
      </w:r>
    </w:p>
    <w:p w:rsidR="00724F5A" w:rsidRPr="007C567D" w:rsidRDefault="00724F5A" w:rsidP="00724F5A">
      <w:pPr>
        <w:pStyle w:val="0222"/>
        <w:numPr>
          <w:ilvl w:val="0"/>
          <w:numId w:val="8"/>
        </w:numPr>
        <w:ind w:left="709" w:hanging="567"/>
        <w:rPr>
          <w:rFonts w:ascii="標楷體" w:eastAsia="標楷體" w:hAnsi="標楷體"/>
          <w:color w:val="333333"/>
          <w:sz w:val="27"/>
          <w:szCs w:val="27"/>
        </w:rPr>
      </w:pPr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本要點未規定事項，</w:t>
      </w:r>
      <w:proofErr w:type="gramStart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依本署相關</w:t>
      </w:r>
      <w:proofErr w:type="gramEnd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規定辦理。</w:t>
      </w:r>
    </w:p>
    <w:p w:rsidR="00724F5A" w:rsidRPr="007C567D" w:rsidRDefault="00724F5A" w:rsidP="00724F5A">
      <w:pPr>
        <w:pStyle w:val="0221"/>
        <w:ind w:left="442" w:hanging="442"/>
        <w:rPr>
          <w:rFonts w:ascii="標楷體" w:eastAsia="標楷體" w:hAnsi="標楷體"/>
          <w:color w:val="333333"/>
          <w:sz w:val="27"/>
          <w:szCs w:val="27"/>
        </w:rPr>
      </w:pPr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七、成效考評：</w:t>
      </w:r>
    </w:p>
    <w:p w:rsidR="00724F5A" w:rsidRPr="007C567D" w:rsidRDefault="00724F5A" w:rsidP="00724F5A">
      <w:pPr>
        <w:pStyle w:val="0222"/>
        <w:numPr>
          <w:ilvl w:val="0"/>
          <w:numId w:val="9"/>
        </w:numPr>
        <w:ind w:left="709" w:hanging="567"/>
        <w:rPr>
          <w:rFonts w:ascii="標楷體" w:eastAsia="標楷體" w:hAnsi="標楷體"/>
          <w:color w:val="333333"/>
          <w:sz w:val="27"/>
          <w:szCs w:val="27"/>
        </w:rPr>
      </w:pPr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補助經費經核定後，直轄市、縣（市）政府及國立附設小學應依計畫辦理。</w:t>
      </w:r>
    </w:p>
    <w:p w:rsidR="00724F5A" w:rsidRPr="007C567D" w:rsidRDefault="00724F5A" w:rsidP="00724F5A">
      <w:pPr>
        <w:pStyle w:val="0222"/>
        <w:numPr>
          <w:ilvl w:val="0"/>
          <w:numId w:val="9"/>
        </w:numPr>
        <w:ind w:left="709" w:hanging="567"/>
        <w:rPr>
          <w:rFonts w:ascii="標楷體" w:eastAsia="標楷體" w:hAnsi="標楷體"/>
          <w:color w:val="333333"/>
          <w:sz w:val="27"/>
          <w:szCs w:val="27"/>
        </w:rPr>
      </w:pPr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本要點補助經費，應專款專用，不得挪用填補原應支付之人事費，且年度補助經費執行率，應切實依分配數、分配月份執行；未依上述規定執行之直轄市、縣（市）政府或執行成效較差者，</w:t>
      </w:r>
      <w:proofErr w:type="gramStart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本署得</w:t>
      </w:r>
      <w:proofErr w:type="gramEnd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酌減該直轄市、縣（市）政府次一年度補助款額度。</w:t>
      </w:r>
    </w:p>
    <w:p w:rsidR="00724F5A" w:rsidRPr="007C567D" w:rsidRDefault="00724F5A" w:rsidP="00724F5A">
      <w:pPr>
        <w:pStyle w:val="0222"/>
        <w:numPr>
          <w:ilvl w:val="0"/>
          <w:numId w:val="9"/>
        </w:numPr>
        <w:ind w:left="709" w:hanging="567"/>
        <w:rPr>
          <w:rFonts w:ascii="標楷體" w:eastAsia="標楷體" w:hAnsi="標楷體"/>
          <w:color w:val="333333"/>
          <w:sz w:val="27"/>
          <w:szCs w:val="27"/>
        </w:rPr>
      </w:pPr>
      <w:proofErr w:type="gramStart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本署應</w:t>
      </w:r>
      <w:proofErr w:type="gramEnd"/>
      <w:r w:rsidRPr="007C567D">
        <w:rPr>
          <w:rFonts w:ascii="標楷體" w:eastAsia="標楷體" w:hAnsi="標楷體" w:hint="eastAsia"/>
          <w:color w:val="333333"/>
          <w:sz w:val="27"/>
          <w:szCs w:val="27"/>
        </w:rPr>
        <w:t>積極督導直轄市、縣（市）政府及學校對補助款之執行，必要時得依實際需要召開檢討會或進行實地訪視督導，瞭解直轄市、縣（市）政府執行情形。</w:t>
      </w:r>
    </w:p>
    <w:p w:rsidR="00724F5A" w:rsidRPr="007C567D" w:rsidRDefault="00724F5A" w:rsidP="0086373D">
      <w:pPr>
        <w:adjustRightInd w:val="0"/>
        <w:snapToGrid w:val="0"/>
        <w:rPr>
          <w:rFonts w:ascii="標楷體" w:eastAsia="標楷體" w:hAnsi="標楷體"/>
          <w:b/>
          <w:sz w:val="27"/>
          <w:szCs w:val="27"/>
        </w:rPr>
        <w:sectPr w:rsidR="00724F5A" w:rsidRPr="007C567D" w:rsidSect="00681F4B">
          <w:pgSz w:w="11906" w:h="16838" w:code="9"/>
          <w:pgMar w:top="851" w:right="851" w:bottom="851" w:left="851" w:header="0" w:footer="567" w:gutter="0"/>
          <w:cols w:space="425"/>
          <w:docGrid w:linePitch="360"/>
        </w:sectPr>
      </w:pPr>
    </w:p>
    <w:p w:rsidR="00724F5A" w:rsidRDefault="00724F5A" w:rsidP="00724F5A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sectPr w:rsidR="00724F5A" w:rsidSect="002B10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314" w:rsidRDefault="00D27314" w:rsidP="00DE24E4">
      <w:r>
        <w:separator/>
      </w:r>
    </w:p>
  </w:endnote>
  <w:endnote w:type="continuationSeparator" w:id="0">
    <w:p w:rsidR="00D27314" w:rsidRDefault="00D27314" w:rsidP="00DE2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314" w:rsidRDefault="00D27314" w:rsidP="00DE24E4">
      <w:r>
        <w:separator/>
      </w:r>
    </w:p>
  </w:footnote>
  <w:footnote w:type="continuationSeparator" w:id="0">
    <w:p w:rsidR="00D27314" w:rsidRDefault="00D27314" w:rsidP="00DE24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3289"/>
    <w:multiLevelType w:val="hybridMultilevel"/>
    <w:tmpl w:val="91144B00"/>
    <w:lvl w:ilvl="0" w:tplc="4CEC749A">
      <w:start w:val="1"/>
      <w:numFmt w:val="taiwaneseCountingThousand"/>
      <w:lvlText w:val="%1、"/>
      <w:lvlJc w:val="left"/>
      <w:pPr>
        <w:ind w:left="7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1">
    <w:nsid w:val="171D7961"/>
    <w:multiLevelType w:val="hybridMultilevel"/>
    <w:tmpl w:val="911C71EA"/>
    <w:lvl w:ilvl="0" w:tplc="8CBA3504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FB54E7"/>
    <w:multiLevelType w:val="hybridMultilevel"/>
    <w:tmpl w:val="669624EA"/>
    <w:lvl w:ilvl="0" w:tplc="6C4E6B14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F7912D4"/>
    <w:multiLevelType w:val="hybridMultilevel"/>
    <w:tmpl w:val="047679F8"/>
    <w:lvl w:ilvl="0" w:tplc="B92C5CDE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D85CDD"/>
    <w:multiLevelType w:val="hybridMultilevel"/>
    <w:tmpl w:val="CA6E8D42"/>
    <w:lvl w:ilvl="0" w:tplc="571A03B4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4E0122"/>
    <w:multiLevelType w:val="hybridMultilevel"/>
    <w:tmpl w:val="49A239A0"/>
    <w:lvl w:ilvl="0" w:tplc="8684D93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2852C0"/>
    <w:multiLevelType w:val="hybridMultilevel"/>
    <w:tmpl w:val="AE545696"/>
    <w:lvl w:ilvl="0" w:tplc="7E90D82C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5103AD"/>
    <w:multiLevelType w:val="hybridMultilevel"/>
    <w:tmpl w:val="7FF4590C"/>
    <w:lvl w:ilvl="0" w:tplc="8B5233E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27"/>
        <w:szCs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96C32E7"/>
    <w:multiLevelType w:val="hybridMultilevel"/>
    <w:tmpl w:val="3AB6A1E6"/>
    <w:lvl w:ilvl="0" w:tplc="762E2F84">
      <w:start w:val="1"/>
      <w:numFmt w:val="taiwaneseCountingThousand"/>
      <w:lvlText w:val="%1、"/>
      <w:lvlJc w:val="left"/>
      <w:pPr>
        <w:ind w:left="390" w:hanging="39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F5A"/>
    <w:rsid w:val="000D38F9"/>
    <w:rsid w:val="002B10A5"/>
    <w:rsid w:val="003C2EFE"/>
    <w:rsid w:val="004E7364"/>
    <w:rsid w:val="00724F5A"/>
    <w:rsid w:val="007E4A29"/>
    <w:rsid w:val="0086373D"/>
    <w:rsid w:val="00D27314"/>
    <w:rsid w:val="00D51B6C"/>
    <w:rsid w:val="00DE24E4"/>
    <w:rsid w:val="00E1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21">
    <w:name w:val="0221"/>
    <w:basedOn w:val="a"/>
    <w:rsid w:val="00724F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"/>
    <w:rsid w:val="00724F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724F5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E2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E24E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E2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E24E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LISIN</dc:creator>
  <cp:keywords/>
  <dc:description/>
  <cp:lastModifiedBy>LISIN</cp:lastModifiedBy>
  <cp:revision>2</cp:revision>
  <dcterms:created xsi:type="dcterms:W3CDTF">2013-12-23T03:46:00Z</dcterms:created>
  <dcterms:modified xsi:type="dcterms:W3CDTF">2013-12-23T03:46:00Z</dcterms:modified>
</cp:coreProperties>
</file>