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2C0" w:rsidRDefault="006622C0" w:rsidP="00D20DC7">
      <w:pPr>
        <w:jc w:val="center"/>
      </w:pPr>
      <w:r w:rsidRPr="00BC374A">
        <w:rPr>
          <w:rFonts w:ascii="標楷體" w:eastAsia="標楷體" w:hAnsi="標楷體" w:hint="eastAsia"/>
          <w:b/>
          <w:color w:val="000000"/>
          <w:w w:val="90"/>
          <w:sz w:val="36"/>
          <w:szCs w:val="36"/>
        </w:rPr>
        <w:t>政府各部門相關家庭教育之政策、方案及計畫</w:t>
      </w:r>
    </w:p>
    <w:p w:rsidR="006622C0" w:rsidRPr="00BC374A" w:rsidRDefault="006622C0" w:rsidP="00236603">
      <w:pPr>
        <w:numPr>
          <w:ilvl w:val="0"/>
          <w:numId w:val="7"/>
        </w:numPr>
        <w:tabs>
          <w:tab w:val="left" w:pos="567"/>
        </w:tabs>
        <w:spacing w:afterLines="50" w:line="240" w:lineRule="atLeast"/>
        <w:ind w:rightChars="-139" w:right="-334"/>
        <w:jc w:val="both"/>
        <w:rPr>
          <w:rFonts w:ascii="標楷體" w:eastAsia="標楷體" w:hAnsi="標楷體"/>
          <w:b/>
          <w:color w:val="000000"/>
          <w:sz w:val="28"/>
          <w:szCs w:val="28"/>
        </w:rPr>
      </w:pPr>
      <w:r w:rsidRPr="00BC374A">
        <w:rPr>
          <w:rFonts w:ascii="標楷體" w:eastAsia="標楷體" w:hAnsi="標楷體" w:hint="eastAsia"/>
          <w:b/>
          <w:color w:val="000000"/>
          <w:sz w:val="28"/>
          <w:szCs w:val="28"/>
        </w:rPr>
        <w:t>現階段人口政策綱領</w:t>
      </w:r>
    </w:p>
    <w:p w:rsidR="006622C0" w:rsidRPr="00BC374A" w:rsidRDefault="006622C0" w:rsidP="00236603">
      <w:pPr>
        <w:spacing w:afterLines="50" w:line="240" w:lineRule="atLeast"/>
        <w:ind w:left="426" w:rightChars="-139" w:right="-334" w:firstLineChars="252" w:firstLine="706"/>
        <w:jc w:val="both"/>
        <w:rPr>
          <w:rFonts w:ascii="標楷體" w:eastAsia="標楷體" w:hAnsi="標楷體"/>
          <w:color w:val="000000"/>
          <w:sz w:val="28"/>
          <w:szCs w:val="28"/>
        </w:rPr>
      </w:pPr>
      <w:r w:rsidRPr="00BC374A">
        <w:rPr>
          <w:rFonts w:ascii="標楷體" w:eastAsia="標楷體" w:hAnsi="標楷體" w:hint="eastAsia"/>
          <w:color w:val="000000"/>
          <w:sz w:val="28"/>
          <w:szCs w:val="28"/>
        </w:rPr>
        <w:t>強化婚姻教育，協助打造幸福婚姻，促進家庭與社區功能，降低離婚率與家庭危機。（行政院國家發展委員會暫訂文字）</w:t>
      </w:r>
    </w:p>
    <w:p w:rsidR="006622C0" w:rsidRPr="00BC374A" w:rsidRDefault="006622C0" w:rsidP="00236603">
      <w:pPr>
        <w:spacing w:afterLines="50" w:line="240" w:lineRule="atLeast"/>
        <w:ind w:left="426" w:rightChars="-139" w:right="-334" w:firstLineChars="252" w:firstLine="706"/>
        <w:jc w:val="both"/>
        <w:rPr>
          <w:rFonts w:ascii="標楷體" w:eastAsia="標楷體" w:hAnsi="標楷體"/>
          <w:color w:val="000000"/>
          <w:sz w:val="28"/>
          <w:szCs w:val="28"/>
        </w:rPr>
      </w:pPr>
      <w:r w:rsidRPr="00BC374A">
        <w:rPr>
          <w:rFonts w:ascii="標楷體" w:eastAsia="標楷體" w:hAnsi="標楷體" w:hint="eastAsia"/>
          <w:color w:val="000000"/>
          <w:sz w:val="28"/>
          <w:szCs w:val="28"/>
        </w:rPr>
        <w:t>強化家庭功能，普及親職教育及婚姻教育，強化家庭成員解決家庭問題知能力，增進民眾對家庭教育服務資源之認識及運用，避免家庭解組。（教育部終身教育司建議文字）</w:t>
      </w:r>
    </w:p>
    <w:p w:rsidR="006622C0" w:rsidRPr="00BC374A" w:rsidRDefault="006622C0" w:rsidP="00236603">
      <w:pPr>
        <w:numPr>
          <w:ilvl w:val="0"/>
          <w:numId w:val="7"/>
        </w:numPr>
        <w:tabs>
          <w:tab w:val="left" w:pos="567"/>
        </w:tabs>
        <w:spacing w:afterLines="50" w:line="240" w:lineRule="atLeast"/>
        <w:ind w:rightChars="-139" w:right="-334"/>
        <w:jc w:val="both"/>
        <w:rPr>
          <w:rFonts w:ascii="標楷體" w:eastAsia="標楷體" w:hAnsi="標楷體"/>
          <w:b/>
          <w:color w:val="000000"/>
          <w:sz w:val="28"/>
          <w:szCs w:val="28"/>
        </w:rPr>
      </w:pPr>
      <w:r w:rsidRPr="00BC374A">
        <w:rPr>
          <w:rFonts w:ascii="標楷體" w:eastAsia="標楷體" w:hAnsi="標楷體" w:hint="eastAsia"/>
          <w:b/>
          <w:color w:val="000000"/>
          <w:sz w:val="28"/>
          <w:szCs w:val="28"/>
        </w:rPr>
        <w:t>內政部人口政策宣導計畫</w:t>
      </w:r>
    </w:p>
    <w:p w:rsidR="006622C0" w:rsidRPr="00BC374A" w:rsidRDefault="006622C0" w:rsidP="00236603">
      <w:pPr>
        <w:spacing w:afterLines="50" w:line="240" w:lineRule="atLeast"/>
        <w:ind w:left="426" w:rightChars="-139" w:right="-334" w:firstLineChars="252" w:firstLine="706"/>
        <w:jc w:val="both"/>
        <w:rPr>
          <w:rFonts w:ascii="標楷體" w:eastAsia="標楷體" w:hAnsi="標楷體"/>
          <w:color w:val="000000"/>
          <w:sz w:val="28"/>
          <w:szCs w:val="28"/>
        </w:rPr>
      </w:pPr>
      <w:r w:rsidRPr="00BC374A">
        <w:rPr>
          <w:rFonts w:ascii="標楷體" w:eastAsia="標楷體" w:hAnsi="標楷體" w:hint="eastAsia"/>
          <w:color w:val="000000"/>
          <w:sz w:val="28"/>
          <w:szCs w:val="28"/>
        </w:rPr>
        <w:t>「重視家庭價值與生命傳承」宣導議題下，「持續倡導性別平等觀念，強調女孩男孩一樣好，確保性別比例不失衡。」之宣導重點。</w:t>
      </w:r>
    </w:p>
    <w:p w:rsidR="006622C0" w:rsidRPr="00BC374A" w:rsidRDefault="006622C0" w:rsidP="00236603">
      <w:pPr>
        <w:numPr>
          <w:ilvl w:val="0"/>
          <w:numId w:val="7"/>
        </w:numPr>
        <w:tabs>
          <w:tab w:val="left" w:pos="567"/>
        </w:tabs>
        <w:spacing w:beforeLines="50" w:afterLines="50" w:line="240" w:lineRule="atLeast"/>
        <w:ind w:rightChars="-139" w:right="-334"/>
        <w:jc w:val="both"/>
        <w:rPr>
          <w:rFonts w:ascii="標楷體" w:eastAsia="標楷體" w:hAnsi="標楷體"/>
          <w:b/>
          <w:color w:val="000000"/>
          <w:sz w:val="28"/>
          <w:szCs w:val="28"/>
        </w:rPr>
      </w:pPr>
      <w:r w:rsidRPr="00BC374A">
        <w:rPr>
          <w:rFonts w:ascii="標楷體" w:eastAsia="標楷體" w:hAnsi="標楷體" w:hint="eastAsia"/>
          <w:b/>
          <w:color w:val="000000"/>
          <w:sz w:val="28"/>
          <w:szCs w:val="28"/>
        </w:rPr>
        <w:t>內政部離婚事前預防性及事後補救性具體措施</w:t>
      </w:r>
    </w:p>
    <w:p w:rsidR="006622C0" w:rsidRPr="00BC374A" w:rsidRDefault="006622C0" w:rsidP="002D0B56">
      <w:pPr>
        <w:numPr>
          <w:ilvl w:val="0"/>
          <w:numId w:val="9"/>
        </w:numPr>
        <w:tabs>
          <w:tab w:val="left" w:pos="567"/>
        </w:tabs>
        <w:spacing w:line="240" w:lineRule="atLeast"/>
        <w:ind w:rightChars="-139" w:right="-334" w:hanging="278"/>
        <w:jc w:val="both"/>
        <w:rPr>
          <w:rFonts w:ascii="標楷體" w:eastAsia="標楷體" w:hAnsi="標楷體"/>
          <w:color w:val="000000"/>
          <w:sz w:val="28"/>
          <w:szCs w:val="28"/>
        </w:rPr>
      </w:pPr>
      <w:r w:rsidRPr="00BC374A">
        <w:rPr>
          <w:rFonts w:ascii="標楷體" w:eastAsia="標楷體" w:hAnsi="標楷體" w:hint="eastAsia"/>
          <w:color w:val="000000"/>
          <w:sz w:val="28"/>
          <w:szCs w:val="28"/>
        </w:rPr>
        <w:t>建置全國家庭教育諮詢專線服務</w:t>
      </w:r>
      <w:r w:rsidRPr="00BC374A">
        <w:rPr>
          <w:rFonts w:ascii="微軟正黑體" w:eastAsia="微軟正黑體" w:hAnsi="微軟正黑體" w:hint="eastAsia"/>
          <w:color w:val="000000"/>
          <w:sz w:val="28"/>
          <w:szCs w:val="28"/>
        </w:rPr>
        <w:t>。</w:t>
      </w:r>
    </w:p>
    <w:p w:rsidR="006622C0" w:rsidRPr="00BC374A" w:rsidRDefault="006622C0" w:rsidP="002D0B56">
      <w:pPr>
        <w:numPr>
          <w:ilvl w:val="0"/>
          <w:numId w:val="9"/>
        </w:numPr>
        <w:tabs>
          <w:tab w:val="left" w:pos="993"/>
        </w:tabs>
        <w:spacing w:line="240" w:lineRule="atLeast"/>
        <w:ind w:left="993" w:rightChars="-139" w:right="-334" w:hanging="851"/>
        <w:jc w:val="both"/>
        <w:rPr>
          <w:rFonts w:eastAsia="標楷體"/>
          <w:color w:val="000000"/>
          <w:sz w:val="28"/>
          <w:szCs w:val="28"/>
        </w:rPr>
      </w:pPr>
      <w:r w:rsidRPr="00BC374A">
        <w:rPr>
          <w:rFonts w:eastAsia="標楷體" w:hint="eastAsia"/>
          <w:color w:val="000000"/>
          <w:sz w:val="28"/>
          <w:szCs w:val="28"/>
        </w:rPr>
        <w:t>強化「家庭教育中心」功能，針對婚前及新婚後</w:t>
      </w:r>
      <w:r w:rsidRPr="00BC374A">
        <w:rPr>
          <w:rFonts w:eastAsia="標楷體"/>
          <w:color w:val="000000"/>
          <w:sz w:val="28"/>
          <w:szCs w:val="28"/>
        </w:rPr>
        <w:t>1</w:t>
      </w:r>
      <w:r w:rsidRPr="00BC374A">
        <w:rPr>
          <w:rFonts w:eastAsia="標楷體" w:hint="eastAsia"/>
          <w:color w:val="000000"/>
          <w:sz w:val="28"/>
          <w:szCs w:val="28"/>
        </w:rPr>
        <w:t>至</w:t>
      </w:r>
      <w:r w:rsidRPr="00BC374A">
        <w:rPr>
          <w:rFonts w:eastAsia="標楷體"/>
          <w:color w:val="000000"/>
          <w:sz w:val="28"/>
          <w:szCs w:val="28"/>
        </w:rPr>
        <w:t>7</w:t>
      </w:r>
      <w:r w:rsidRPr="00BC374A">
        <w:rPr>
          <w:rFonts w:eastAsia="標楷體" w:hint="eastAsia"/>
          <w:color w:val="000000"/>
          <w:sz w:val="28"/>
          <w:szCs w:val="28"/>
        </w:rPr>
        <w:t>年與退休後發生離婚率較高階段，開辦各類婚前</w:t>
      </w:r>
      <w:r w:rsidRPr="00BC374A">
        <w:rPr>
          <w:rFonts w:eastAsia="標楷體"/>
          <w:color w:val="000000"/>
          <w:sz w:val="28"/>
          <w:szCs w:val="28"/>
        </w:rPr>
        <w:t>/</w:t>
      </w:r>
      <w:r w:rsidRPr="00BC374A">
        <w:rPr>
          <w:rFonts w:eastAsia="標楷體" w:hint="eastAsia"/>
          <w:color w:val="000000"/>
          <w:sz w:val="28"/>
          <w:szCs w:val="28"/>
        </w:rPr>
        <w:t>婚姻教育課程與活動。</w:t>
      </w:r>
    </w:p>
    <w:p w:rsidR="006622C0" w:rsidRPr="00BC374A" w:rsidRDefault="006622C0" w:rsidP="002D0B56">
      <w:pPr>
        <w:numPr>
          <w:ilvl w:val="0"/>
          <w:numId w:val="9"/>
        </w:numPr>
        <w:tabs>
          <w:tab w:val="left" w:pos="993"/>
        </w:tabs>
        <w:spacing w:line="240" w:lineRule="atLeast"/>
        <w:ind w:left="993" w:rightChars="-139" w:right="-334" w:hanging="851"/>
        <w:jc w:val="both"/>
        <w:rPr>
          <w:rFonts w:eastAsia="標楷體"/>
          <w:color w:val="000000"/>
          <w:sz w:val="28"/>
          <w:szCs w:val="28"/>
        </w:rPr>
      </w:pPr>
      <w:r w:rsidRPr="00BC374A">
        <w:rPr>
          <w:rFonts w:eastAsia="標楷體" w:hint="eastAsia"/>
          <w:color w:val="000000"/>
          <w:sz w:val="28"/>
          <w:szCs w:val="28"/>
        </w:rPr>
        <w:t>推展婚姻與家庭教育，將情感教育、性別教育及家暴問題納入教育課程，助益婚姻經營與和諧。</w:t>
      </w:r>
    </w:p>
    <w:p w:rsidR="006622C0" w:rsidRPr="00BC374A" w:rsidRDefault="006622C0" w:rsidP="002D0B56">
      <w:pPr>
        <w:numPr>
          <w:ilvl w:val="0"/>
          <w:numId w:val="9"/>
        </w:numPr>
        <w:tabs>
          <w:tab w:val="left" w:pos="993"/>
        </w:tabs>
        <w:spacing w:line="240" w:lineRule="atLeast"/>
        <w:ind w:left="993" w:rightChars="-139" w:right="-334" w:hanging="851"/>
        <w:jc w:val="both"/>
        <w:rPr>
          <w:rFonts w:eastAsia="標楷體"/>
          <w:color w:val="000000"/>
          <w:sz w:val="28"/>
          <w:szCs w:val="28"/>
        </w:rPr>
      </w:pPr>
      <w:r w:rsidRPr="00BC374A">
        <w:rPr>
          <w:rFonts w:eastAsia="標楷體" w:hint="eastAsia"/>
          <w:color w:val="000000"/>
          <w:sz w:val="28"/>
          <w:szCs w:val="28"/>
        </w:rPr>
        <w:t>研修家庭教育相關法規，厚植家庭教育推動之人力。</w:t>
      </w:r>
    </w:p>
    <w:p w:rsidR="006622C0" w:rsidRPr="00BC374A" w:rsidRDefault="006622C0" w:rsidP="002D0B56">
      <w:pPr>
        <w:numPr>
          <w:ilvl w:val="0"/>
          <w:numId w:val="9"/>
        </w:numPr>
        <w:tabs>
          <w:tab w:val="left" w:pos="993"/>
        </w:tabs>
        <w:spacing w:line="240" w:lineRule="atLeast"/>
        <w:ind w:left="993" w:rightChars="-139" w:right="-334" w:hanging="851"/>
        <w:jc w:val="both"/>
        <w:rPr>
          <w:rFonts w:eastAsia="標楷體"/>
          <w:color w:val="000000"/>
          <w:sz w:val="28"/>
          <w:szCs w:val="28"/>
        </w:rPr>
      </w:pPr>
      <w:r w:rsidRPr="00BC374A">
        <w:rPr>
          <w:rFonts w:eastAsia="標楷體" w:hint="eastAsia"/>
          <w:color w:val="000000"/>
          <w:sz w:val="28"/>
          <w:szCs w:val="28"/>
        </w:rPr>
        <w:t>對於缺乏資源的</w:t>
      </w:r>
      <w:r w:rsidRPr="00BC374A">
        <w:rPr>
          <w:rFonts w:eastAsia="標楷體"/>
          <w:color w:val="000000"/>
          <w:sz w:val="28"/>
          <w:szCs w:val="28"/>
        </w:rPr>
        <w:t>NGO</w:t>
      </w:r>
      <w:r w:rsidRPr="00BC374A">
        <w:rPr>
          <w:rFonts w:eastAsia="標楷體" w:hint="eastAsia"/>
          <w:color w:val="000000"/>
          <w:sz w:val="28"/>
          <w:szCs w:val="28"/>
        </w:rPr>
        <w:t>予以補助，使其發揮力量協助，消弭離婚有關社會問題。</w:t>
      </w:r>
    </w:p>
    <w:p w:rsidR="006622C0" w:rsidRPr="00BC374A" w:rsidRDefault="006622C0" w:rsidP="00236603">
      <w:pPr>
        <w:numPr>
          <w:ilvl w:val="0"/>
          <w:numId w:val="7"/>
        </w:numPr>
        <w:tabs>
          <w:tab w:val="left" w:pos="567"/>
        </w:tabs>
        <w:spacing w:beforeLines="50" w:afterLines="50" w:line="240" w:lineRule="atLeast"/>
        <w:ind w:rightChars="-139" w:right="-334" w:hanging="482"/>
        <w:jc w:val="both"/>
        <w:rPr>
          <w:rFonts w:ascii="標楷體" w:eastAsia="標楷體" w:hAnsi="標楷體"/>
          <w:b/>
          <w:color w:val="000000"/>
          <w:sz w:val="28"/>
          <w:szCs w:val="28"/>
        </w:rPr>
      </w:pPr>
      <w:r w:rsidRPr="00BC374A">
        <w:rPr>
          <w:rFonts w:ascii="標楷體" w:eastAsia="標楷體" w:hAnsi="標楷體" w:hint="eastAsia"/>
          <w:b/>
          <w:color w:val="000000"/>
          <w:sz w:val="28"/>
          <w:szCs w:val="28"/>
        </w:rPr>
        <w:t>內政部委託「晚婚、不婚現象因應對策之研究」建議事項</w:t>
      </w:r>
    </w:p>
    <w:p w:rsidR="006622C0" w:rsidRPr="00BC374A" w:rsidRDefault="006622C0" w:rsidP="002D0B56">
      <w:pPr>
        <w:numPr>
          <w:ilvl w:val="0"/>
          <w:numId w:val="8"/>
        </w:numPr>
        <w:tabs>
          <w:tab w:val="left" w:pos="567"/>
        </w:tabs>
        <w:spacing w:line="240" w:lineRule="atLeast"/>
        <w:ind w:rightChars="-139" w:right="-334" w:hanging="278"/>
        <w:jc w:val="both"/>
        <w:rPr>
          <w:rFonts w:ascii="標楷體" w:eastAsia="標楷體" w:hAnsi="標楷體"/>
          <w:color w:val="000000"/>
          <w:sz w:val="28"/>
          <w:szCs w:val="28"/>
        </w:rPr>
      </w:pPr>
      <w:r w:rsidRPr="00BC374A">
        <w:rPr>
          <w:rFonts w:ascii="標楷體" w:eastAsia="標楷體" w:hAnsi="標楷體" w:hint="eastAsia"/>
          <w:color w:val="000000"/>
          <w:sz w:val="28"/>
          <w:szCs w:val="28"/>
        </w:rPr>
        <w:t>加強提供婚育諮詢服務的網絡平臺。</w:t>
      </w:r>
    </w:p>
    <w:p w:rsidR="006622C0" w:rsidRPr="00BC374A" w:rsidRDefault="006622C0" w:rsidP="002D0B56">
      <w:pPr>
        <w:numPr>
          <w:ilvl w:val="0"/>
          <w:numId w:val="8"/>
        </w:numPr>
        <w:tabs>
          <w:tab w:val="left" w:pos="567"/>
        </w:tabs>
        <w:spacing w:line="240" w:lineRule="atLeast"/>
        <w:ind w:rightChars="-139" w:right="-334" w:hanging="278"/>
        <w:jc w:val="both"/>
        <w:rPr>
          <w:rFonts w:ascii="標楷體" w:eastAsia="標楷體" w:hAnsi="標楷體"/>
          <w:color w:val="000000"/>
          <w:sz w:val="28"/>
          <w:szCs w:val="28"/>
        </w:rPr>
      </w:pPr>
      <w:r w:rsidRPr="00BC374A">
        <w:rPr>
          <w:rFonts w:ascii="標楷體" w:eastAsia="標楷體" w:hAnsi="標楷體" w:hint="eastAsia"/>
          <w:color w:val="000000"/>
          <w:sz w:val="28"/>
          <w:szCs w:val="28"/>
        </w:rPr>
        <w:t>重新建立與凝聚國人婚育價值觀</w:t>
      </w:r>
      <w:r w:rsidRPr="00BC374A">
        <w:rPr>
          <w:rFonts w:ascii="微軟正黑體" w:eastAsia="微軟正黑體" w:hAnsi="微軟正黑體" w:hint="eastAsia"/>
          <w:color w:val="000000"/>
          <w:sz w:val="28"/>
          <w:szCs w:val="28"/>
        </w:rPr>
        <w:t>。</w:t>
      </w:r>
    </w:p>
    <w:p w:rsidR="006622C0" w:rsidRPr="00BC374A" w:rsidRDefault="006622C0" w:rsidP="002D0B56">
      <w:pPr>
        <w:numPr>
          <w:ilvl w:val="0"/>
          <w:numId w:val="8"/>
        </w:numPr>
        <w:tabs>
          <w:tab w:val="left" w:pos="567"/>
        </w:tabs>
        <w:spacing w:line="240" w:lineRule="atLeast"/>
        <w:ind w:rightChars="-139" w:right="-334" w:hanging="278"/>
        <w:jc w:val="both"/>
        <w:rPr>
          <w:rFonts w:ascii="標楷體" w:eastAsia="標楷體" w:hAnsi="標楷體"/>
          <w:color w:val="000000"/>
          <w:sz w:val="28"/>
          <w:szCs w:val="28"/>
        </w:rPr>
      </w:pPr>
      <w:r w:rsidRPr="00BC374A">
        <w:rPr>
          <w:rFonts w:ascii="標楷體" w:eastAsia="標楷體" w:hAnsi="標楷體" w:hint="eastAsia"/>
          <w:color w:val="000000"/>
          <w:sz w:val="28"/>
          <w:szCs w:val="28"/>
        </w:rPr>
        <w:t>導正「上嫁下娶」的傳統觀念。</w:t>
      </w:r>
    </w:p>
    <w:p w:rsidR="006622C0" w:rsidRPr="00BC374A" w:rsidRDefault="006622C0" w:rsidP="00236603">
      <w:pPr>
        <w:numPr>
          <w:ilvl w:val="0"/>
          <w:numId w:val="7"/>
        </w:numPr>
        <w:tabs>
          <w:tab w:val="left" w:pos="567"/>
        </w:tabs>
        <w:spacing w:beforeLines="50" w:afterLines="50" w:line="240" w:lineRule="atLeast"/>
        <w:ind w:rightChars="-139" w:right="-334"/>
        <w:jc w:val="both"/>
        <w:rPr>
          <w:rFonts w:eastAsia="標楷體"/>
          <w:b/>
          <w:color w:val="000000"/>
          <w:sz w:val="28"/>
          <w:szCs w:val="28"/>
        </w:rPr>
      </w:pPr>
      <w:r w:rsidRPr="00BC374A">
        <w:rPr>
          <w:rFonts w:eastAsia="標楷體" w:hint="eastAsia"/>
          <w:b/>
          <w:color w:val="000000"/>
          <w:sz w:val="28"/>
          <w:szCs w:val="28"/>
        </w:rPr>
        <w:t>「消除對婦女一切形式歧視公約」（簡稱</w:t>
      </w:r>
      <w:r w:rsidRPr="00BC374A">
        <w:rPr>
          <w:rFonts w:eastAsia="標楷體"/>
          <w:b/>
          <w:color w:val="000000"/>
          <w:sz w:val="28"/>
          <w:szCs w:val="28"/>
        </w:rPr>
        <w:t>CEDAW)</w:t>
      </w:r>
    </w:p>
    <w:p w:rsidR="006622C0" w:rsidRPr="00BC374A" w:rsidRDefault="006622C0" w:rsidP="00236603">
      <w:pPr>
        <w:numPr>
          <w:ilvl w:val="0"/>
          <w:numId w:val="1"/>
        </w:numPr>
        <w:spacing w:afterLines="50" w:line="240" w:lineRule="atLeast"/>
        <w:ind w:rightChars="-139" w:right="-334" w:hanging="959"/>
        <w:jc w:val="both"/>
        <w:rPr>
          <w:rFonts w:eastAsia="標楷體"/>
          <w:color w:val="000000"/>
          <w:sz w:val="28"/>
          <w:szCs w:val="28"/>
        </w:rPr>
      </w:pPr>
      <w:r w:rsidRPr="00BC374A">
        <w:rPr>
          <w:rFonts w:eastAsia="標楷體" w:hint="eastAsia"/>
          <w:color w:val="000000"/>
          <w:sz w:val="28"/>
          <w:szCs w:val="28"/>
        </w:rPr>
        <w:t>第</w:t>
      </w:r>
      <w:r w:rsidRPr="00BC374A">
        <w:rPr>
          <w:rFonts w:eastAsia="標楷體"/>
          <w:color w:val="000000"/>
          <w:sz w:val="28"/>
          <w:szCs w:val="28"/>
        </w:rPr>
        <w:t>5</w:t>
      </w:r>
      <w:r w:rsidRPr="00BC374A">
        <w:rPr>
          <w:rFonts w:eastAsia="標楷體" w:hint="eastAsia"/>
          <w:color w:val="000000"/>
          <w:sz w:val="28"/>
          <w:szCs w:val="28"/>
        </w:rPr>
        <w:t>條　締約各國應採取一切適當措施：</w:t>
      </w:r>
    </w:p>
    <w:p w:rsidR="006622C0" w:rsidRPr="00BC374A" w:rsidRDefault="006622C0" w:rsidP="00236603">
      <w:pPr>
        <w:spacing w:afterLines="50" w:line="240" w:lineRule="atLeast"/>
        <w:ind w:leftChars="414" w:left="1560" w:rightChars="-139" w:right="-334" w:hangingChars="202" w:hanging="566"/>
        <w:jc w:val="both"/>
        <w:rPr>
          <w:rFonts w:eastAsia="標楷體"/>
          <w:color w:val="000000"/>
          <w:sz w:val="28"/>
          <w:szCs w:val="28"/>
        </w:rPr>
      </w:pPr>
      <w:r w:rsidRPr="00BC374A">
        <w:rPr>
          <w:rFonts w:eastAsia="標楷體"/>
          <w:color w:val="000000"/>
          <w:sz w:val="28"/>
          <w:szCs w:val="28"/>
        </w:rPr>
        <w:t xml:space="preserve">(a) </w:t>
      </w:r>
      <w:r w:rsidRPr="00BC374A">
        <w:rPr>
          <w:rFonts w:eastAsia="標楷體" w:hint="eastAsia"/>
          <w:color w:val="000000"/>
          <w:sz w:val="28"/>
          <w:szCs w:val="28"/>
        </w:rPr>
        <w:t>改變男女的社會和文化行為模式，以消除基於性別而分尊卑觀念或基於男女任務定型所產生的偏見、習俗和一切其他做法；</w:t>
      </w:r>
    </w:p>
    <w:p w:rsidR="006622C0" w:rsidRPr="00BC374A" w:rsidRDefault="006622C0" w:rsidP="00236603">
      <w:pPr>
        <w:spacing w:afterLines="50" w:line="240" w:lineRule="atLeast"/>
        <w:ind w:leftChars="414" w:left="1560" w:rightChars="-139" w:right="-334" w:hangingChars="202" w:hanging="566"/>
        <w:jc w:val="both"/>
        <w:rPr>
          <w:rFonts w:eastAsia="標楷體"/>
          <w:color w:val="000000"/>
          <w:sz w:val="28"/>
          <w:szCs w:val="28"/>
        </w:rPr>
      </w:pPr>
      <w:r w:rsidRPr="00BC374A">
        <w:rPr>
          <w:rFonts w:eastAsia="標楷體"/>
          <w:color w:val="000000"/>
          <w:sz w:val="28"/>
          <w:szCs w:val="28"/>
        </w:rPr>
        <w:t xml:space="preserve">(b) </w:t>
      </w:r>
      <w:r w:rsidRPr="00BC374A">
        <w:rPr>
          <w:rFonts w:eastAsia="標楷體" w:hint="eastAsia"/>
          <w:color w:val="000000"/>
          <w:sz w:val="28"/>
          <w:szCs w:val="28"/>
        </w:rPr>
        <w:t>保證家庭教育應包括正確了解母性的社會功能和確認教養子女是父母的共同責任，當然在任何情況下都應首先考慮子女的利益。</w:t>
      </w:r>
    </w:p>
    <w:p w:rsidR="006622C0" w:rsidRPr="00BC374A" w:rsidRDefault="006622C0" w:rsidP="00236603">
      <w:pPr>
        <w:spacing w:afterLines="50" w:line="240" w:lineRule="atLeast"/>
        <w:ind w:rightChars="-139" w:right="-334" w:firstLineChars="354" w:firstLine="991"/>
        <w:jc w:val="both"/>
        <w:rPr>
          <w:rFonts w:eastAsia="標楷體"/>
          <w:color w:val="000000"/>
          <w:sz w:val="28"/>
          <w:szCs w:val="28"/>
        </w:rPr>
      </w:pPr>
      <w:r w:rsidRPr="00BC374A">
        <w:rPr>
          <w:rFonts w:eastAsia="標楷體"/>
          <w:color w:val="000000"/>
          <w:sz w:val="28"/>
          <w:szCs w:val="28"/>
        </w:rPr>
        <w:t>*GR3(</w:t>
      </w:r>
      <w:r w:rsidRPr="00BC374A">
        <w:rPr>
          <w:rFonts w:eastAsia="標楷體" w:hint="eastAsia"/>
          <w:color w:val="000000"/>
          <w:sz w:val="28"/>
          <w:szCs w:val="28"/>
        </w:rPr>
        <w:t>教育和宣導活動</w:t>
      </w:r>
      <w:r w:rsidRPr="00BC374A">
        <w:rPr>
          <w:rFonts w:eastAsia="標楷體"/>
          <w:color w:val="000000"/>
          <w:sz w:val="28"/>
          <w:szCs w:val="28"/>
        </w:rPr>
        <w:t>)</w:t>
      </w:r>
    </w:p>
    <w:p w:rsidR="006622C0" w:rsidRPr="00BC374A" w:rsidRDefault="006622C0" w:rsidP="00236603">
      <w:pPr>
        <w:spacing w:afterLines="50" w:line="240" w:lineRule="atLeast"/>
        <w:ind w:rightChars="-139" w:right="-334" w:firstLineChars="354" w:firstLine="991"/>
        <w:jc w:val="both"/>
        <w:rPr>
          <w:rFonts w:eastAsia="標楷體"/>
          <w:color w:val="000000"/>
          <w:sz w:val="28"/>
          <w:szCs w:val="28"/>
        </w:rPr>
      </w:pPr>
      <w:r w:rsidRPr="00BC374A">
        <w:rPr>
          <w:rFonts w:eastAsia="標楷體"/>
          <w:color w:val="000000"/>
          <w:sz w:val="28"/>
          <w:szCs w:val="28"/>
        </w:rPr>
        <w:t>*GR19/11(</w:t>
      </w:r>
      <w:r w:rsidRPr="00BC374A">
        <w:rPr>
          <w:rFonts w:eastAsia="標楷體" w:hint="eastAsia"/>
          <w:color w:val="000000"/>
          <w:sz w:val="28"/>
          <w:szCs w:val="28"/>
        </w:rPr>
        <w:t>男女任務定型與性別暴力關係</w:t>
      </w:r>
      <w:r w:rsidRPr="00BC374A">
        <w:rPr>
          <w:rFonts w:eastAsia="標楷體"/>
          <w:color w:val="000000"/>
          <w:sz w:val="28"/>
          <w:szCs w:val="28"/>
        </w:rPr>
        <w:t>)</w:t>
      </w:r>
    </w:p>
    <w:p w:rsidR="006622C0" w:rsidRPr="00BC374A" w:rsidRDefault="006622C0" w:rsidP="00236603">
      <w:pPr>
        <w:numPr>
          <w:ilvl w:val="0"/>
          <w:numId w:val="1"/>
        </w:numPr>
        <w:spacing w:afterLines="50" w:line="240" w:lineRule="atLeast"/>
        <w:ind w:rightChars="-139" w:right="-334" w:hanging="959"/>
        <w:jc w:val="both"/>
        <w:rPr>
          <w:rFonts w:eastAsia="標楷體"/>
          <w:color w:val="000000"/>
          <w:sz w:val="28"/>
          <w:szCs w:val="28"/>
        </w:rPr>
      </w:pPr>
      <w:r w:rsidRPr="00BC374A">
        <w:rPr>
          <w:rFonts w:eastAsia="標楷體"/>
          <w:color w:val="000000"/>
          <w:sz w:val="28"/>
          <w:szCs w:val="28"/>
        </w:rPr>
        <w:tab/>
      </w:r>
      <w:r w:rsidRPr="00BC374A">
        <w:rPr>
          <w:rFonts w:eastAsia="標楷體" w:hint="eastAsia"/>
          <w:color w:val="000000"/>
          <w:sz w:val="28"/>
          <w:szCs w:val="28"/>
        </w:rPr>
        <w:t>第</w:t>
      </w:r>
      <w:r w:rsidRPr="00BC374A">
        <w:rPr>
          <w:rFonts w:eastAsia="標楷體"/>
          <w:color w:val="000000"/>
          <w:sz w:val="28"/>
          <w:szCs w:val="28"/>
        </w:rPr>
        <w:t>10</w:t>
      </w:r>
      <w:r w:rsidRPr="00BC374A">
        <w:rPr>
          <w:rFonts w:eastAsia="標楷體" w:hint="eastAsia"/>
          <w:color w:val="000000"/>
          <w:sz w:val="28"/>
          <w:szCs w:val="28"/>
        </w:rPr>
        <w:t>條　締約各國應採取一切適當措施以消除對婦女的歧視，以保證婦女在教育方面享有與男子平等的權利，特別是在男女平等的基礎上保證：</w:t>
      </w:r>
    </w:p>
    <w:p w:rsidR="006622C0" w:rsidRPr="00BC374A" w:rsidRDefault="006622C0" w:rsidP="002D0B56">
      <w:pPr>
        <w:spacing w:line="240" w:lineRule="atLeast"/>
        <w:ind w:leftChars="413" w:left="1559" w:rightChars="-139" w:right="-334" w:hangingChars="203" w:hanging="568"/>
        <w:jc w:val="both"/>
        <w:rPr>
          <w:rFonts w:eastAsia="標楷體"/>
          <w:color w:val="000000"/>
          <w:sz w:val="28"/>
          <w:szCs w:val="28"/>
        </w:rPr>
      </w:pPr>
      <w:r w:rsidRPr="00BC374A">
        <w:rPr>
          <w:rFonts w:eastAsia="標楷體"/>
          <w:color w:val="000000"/>
          <w:sz w:val="28"/>
          <w:szCs w:val="28"/>
        </w:rPr>
        <w:t xml:space="preserve">(h) </w:t>
      </w:r>
      <w:r w:rsidRPr="00BC374A">
        <w:rPr>
          <w:rFonts w:eastAsia="標楷體" w:hint="eastAsia"/>
          <w:color w:val="000000"/>
          <w:sz w:val="28"/>
          <w:szCs w:val="28"/>
        </w:rPr>
        <w:t>有接受特殊知識輔導的機會，以有助於保障家庭健康和幸福，包括關於計劃生育的知識和輔導在內。</w:t>
      </w:r>
    </w:p>
    <w:p w:rsidR="006622C0" w:rsidRPr="00BC374A" w:rsidRDefault="006622C0" w:rsidP="002D0B56">
      <w:pPr>
        <w:spacing w:line="240" w:lineRule="atLeast"/>
        <w:ind w:rightChars="-139" w:right="-334" w:firstLineChars="354" w:firstLine="991"/>
        <w:jc w:val="both"/>
        <w:rPr>
          <w:rFonts w:eastAsia="標楷體"/>
          <w:color w:val="000000"/>
          <w:sz w:val="28"/>
          <w:szCs w:val="28"/>
        </w:rPr>
      </w:pPr>
      <w:r w:rsidRPr="00BC374A">
        <w:rPr>
          <w:rFonts w:eastAsia="標楷體"/>
          <w:color w:val="000000"/>
          <w:sz w:val="28"/>
          <w:szCs w:val="28"/>
        </w:rPr>
        <w:t>*GR3(</w:t>
      </w:r>
      <w:r w:rsidRPr="00BC374A">
        <w:rPr>
          <w:rFonts w:eastAsia="標楷體" w:hint="eastAsia"/>
          <w:color w:val="000000"/>
          <w:sz w:val="28"/>
          <w:szCs w:val="28"/>
        </w:rPr>
        <w:t>教育和宣傳活動</w:t>
      </w:r>
      <w:r w:rsidRPr="00BC374A">
        <w:rPr>
          <w:rFonts w:eastAsia="標楷體"/>
          <w:color w:val="000000"/>
          <w:sz w:val="28"/>
          <w:szCs w:val="28"/>
        </w:rPr>
        <w:t>)</w:t>
      </w:r>
    </w:p>
    <w:p w:rsidR="006622C0" w:rsidRPr="00BC374A" w:rsidRDefault="006622C0" w:rsidP="002D0B56">
      <w:pPr>
        <w:spacing w:line="240" w:lineRule="atLeast"/>
        <w:ind w:rightChars="-139" w:right="-334" w:firstLineChars="354" w:firstLine="991"/>
        <w:jc w:val="both"/>
        <w:rPr>
          <w:rFonts w:eastAsia="標楷體"/>
          <w:color w:val="000000"/>
          <w:sz w:val="28"/>
          <w:szCs w:val="28"/>
        </w:rPr>
      </w:pPr>
      <w:r w:rsidRPr="00BC374A">
        <w:rPr>
          <w:rFonts w:eastAsia="標楷體"/>
          <w:color w:val="000000"/>
          <w:sz w:val="28"/>
          <w:szCs w:val="28"/>
        </w:rPr>
        <w:t>*GR19(</w:t>
      </w:r>
      <w:r w:rsidRPr="00BC374A">
        <w:rPr>
          <w:rFonts w:eastAsia="標楷體" w:hint="eastAsia"/>
          <w:color w:val="000000"/>
          <w:sz w:val="28"/>
          <w:szCs w:val="28"/>
        </w:rPr>
        <w:t>對婦女的暴力行為</w:t>
      </w:r>
      <w:r w:rsidRPr="00BC374A">
        <w:rPr>
          <w:rFonts w:eastAsia="標楷體"/>
          <w:color w:val="000000"/>
          <w:sz w:val="28"/>
          <w:szCs w:val="28"/>
        </w:rPr>
        <w:t>)</w:t>
      </w:r>
    </w:p>
    <w:p w:rsidR="006622C0" w:rsidRPr="00BC374A" w:rsidRDefault="006622C0" w:rsidP="002D0B56">
      <w:pPr>
        <w:spacing w:line="240" w:lineRule="atLeast"/>
        <w:ind w:leftChars="413" w:left="2833" w:rightChars="-139" w:right="-334" w:hangingChars="658" w:hanging="1842"/>
        <w:jc w:val="both"/>
        <w:rPr>
          <w:rFonts w:eastAsia="標楷體"/>
          <w:color w:val="000000"/>
          <w:sz w:val="28"/>
          <w:szCs w:val="28"/>
        </w:rPr>
      </w:pPr>
      <w:r w:rsidRPr="00BC374A">
        <w:rPr>
          <w:rFonts w:eastAsia="標楷體"/>
          <w:color w:val="000000"/>
          <w:sz w:val="28"/>
          <w:szCs w:val="28"/>
        </w:rPr>
        <w:t>*GR19/24(d,f)(</w:t>
      </w:r>
      <w:r w:rsidRPr="00BC374A">
        <w:rPr>
          <w:rFonts w:eastAsia="標楷體" w:hint="eastAsia"/>
          <w:color w:val="000000"/>
          <w:sz w:val="28"/>
          <w:szCs w:val="28"/>
        </w:rPr>
        <w:t>確保新聞媒體尊重婦女；展開教育和資訊方案，消除妨礙婦女平等的偏見</w:t>
      </w:r>
      <w:r w:rsidRPr="00BC374A">
        <w:rPr>
          <w:rFonts w:eastAsia="標楷體"/>
          <w:color w:val="000000"/>
          <w:sz w:val="28"/>
          <w:szCs w:val="28"/>
        </w:rPr>
        <w:t>)</w:t>
      </w:r>
    </w:p>
    <w:p w:rsidR="006622C0" w:rsidRPr="00BC374A" w:rsidRDefault="006622C0" w:rsidP="002D0B56">
      <w:pPr>
        <w:spacing w:line="240" w:lineRule="atLeast"/>
        <w:ind w:rightChars="-139" w:right="-334" w:firstLineChars="354" w:firstLine="991"/>
        <w:jc w:val="both"/>
        <w:rPr>
          <w:rFonts w:eastAsia="標楷體"/>
          <w:color w:val="000000"/>
          <w:sz w:val="28"/>
          <w:szCs w:val="28"/>
        </w:rPr>
      </w:pPr>
      <w:r w:rsidRPr="00BC374A">
        <w:rPr>
          <w:rFonts w:eastAsia="標楷體"/>
          <w:color w:val="000000"/>
          <w:sz w:val="28"/>
          <w:szCs w:val="28"/>
        </w:rPr>
        <w:t>*GR21/22 (</w:t>
      </w:r>
      <w:r w:rsidRPr="00BC374A">
        <w:rPr>
          <w:rFonts w:eastAsia="標楷體" w:hint="eastAsia"/>
          <w:color w:val="000000"/>
          <w:sz w:val="28"/>
          <w:szCs w:val="28"/>
        </w:rPr>
        <w:t>性教育、計畫生育服務</w:t>
      </w:r>
      <w:r w:rsidRPr="00BC374A">
        <w:rPr>
          <w:rFonts w:eastAsia="標楷體"/>
          <w:color w:val="000000"/>
          <w:sz w:val="28"/>
          <w:szCs w:val="28"/>
        </w:rPr>
        <w:t>)</w:t>
      </w:r>
    </w:p>
    <w:p w:rsidR="006622C0" w:rsidRPr="00BC374A" w:rsidRDefault="006622C0" w:rsidP="00236603">
      <w:pPr>
        <w:numPr>
          <w:ilvl w:val="0"/>
          <w:numId w:val="7"/>
        </w:numPr>
        <w:tabs>
          <w:tab w:val="left" w:pos="567"/>
        </w:tabs>
        <w:spacing w:beforeLines="50" w:afterLines="50" w:line="240" w:lineRule="atLeast"/>
        <w:ind w:rightChars="-139" w:right="-334"/>
        <w:jc w:val="both"/>
        <w:rPr>
          <w:rFonts w:eastAsia="標楷體"/>
          <w:b/>
          <w:color w:val="000000"/>
          <w:sz w:val="28"/>
          <w:szCs w:val="28"/>
        </w:rPr>
      </w:pPr>
      <w:r w:rsidRPr="00BC374A">
        <w:rPr>
          <w:rFonts w:eastAsia="標楷體" w:hint="eastAsia"/>
          <w:b/>
          <w:color w:val="000000"/>
          <w:sz w:val="28"/>
          <w:szCs w:val="28"/>
        </w:rPr>
        <w:t>行政院「性別平等政策綱領」相關具體行動措施</w:t>
      </w:r>
    </w:p>
    <w:p w:rsidR="006622C0" w:rsidRPr="00BC374A" w:rsidRDefault="006622C0" w:rsidP="002D0B56">
      <w:pPr>
        <w:numPr>
          <w:ilvl w:val="0"/>
          <w:numId w:val="2"/>
        </w:numPr>
        <w:tabs>
          <w:tab w:val="left" w:pos="851"/>
        </w:tabs>
        <w:spacing w:line="240" w:lineRule="atLeast"/>
        <w:ind w:left="851" w:rightChars="-139" w:right="-334" w:hanging="851"/>
        <w:jc w:val="both"/>
        <w:rPr>
          <w:rFonts w:eastAsia="標楷體"/>
          <w:color w:val="000000"/>
          <w:sz w:val="28"/>
          <w:szCs w:val="28"/>
        </w:rPr>
      </w:pPr>
      <w:r w:rsidRPr="00BC374A">
        <w:rPr>
          <w:rFonts w:eastAsia="標楷體" w:hint="eastAsia"/>
          <w:color w:val="000000"/>
          <w:sz w:val="28"/>
          <w:szCs w:val="28"/>
        </w:rPr>
        <w:t>加強原住民族女性及新移民女性及其家庭成員之性別意識建構與培力。</w:t>
      </w:r>
    </w:p>
    <w:p w:rsidR="006622C0" w:rsidRPr="00BC374A" w:rsidRDefault="006622C0" w:rsidP="002D0B56">
      <w:pPr>
        <w:numPr>
          <w:ilvl w:val="0"/>
          <w:numId w:val="2"/>
        </w:numPr>
        <w:spacing w:line="240" w:lineRule="atLeast"/>
        <w:ind w:left="851" w:rightChars="-139" w:right="-334" w:hanging="853"/>
        <w:jc w:val="both"/>
        <w:rPr>
          <w:rFonts w:eastAsia="標楷體"/>
          <w:color w:val="000000"/>
          <w:sz w:val="28"/>
          <w:szCs w:val="28"/>
        </w:rPr>
      </w:pPr>
      <w:r w:rsidRPr="00BC374A">
        <w:rPr>
          <w:rFonts w:eastAsia="標楷體" w:hint="eastAsia"/>
          <w:color w:val="000000"/>
          <w:sz w:val="28"/>
          <w:szCs w:val="28"/>
        </w:rPr>
        <w:t>對於財產繼承權及子女姓氏之選擇，應加強性別平權觀念宣導，以消除傳統文化的性別歧視。</w:t>
      </w:r>
    </w:p>
    <w:p w:rsidR="006622C0" w:rsidRPr="00BC374A" w:rsidRDefault="006622C0" w:rsidP="002D0B56">
      <w:pPr>
        <w:numPr>
          <w:ilvl w:val="0"/>
          <w:numId w:val="2"/>
        </w:numPr>
        <w:spacing w:line="240" w:lineRule="atLeast"/>
        <w:ind w:left="851" w:rightChars="-139" w:right="-334" w:hanging="853"/>
        <w:jc w:val="both"/>
        <w:rPr>
          <w:rFonts w:eastAsia="標楷體"/>
          <w:color w:val="000000"/>
          <w:sz w:val="28"/>
          <w:szCs w:val="28"/>
        </w:rPr>
      </w:pPr>
      <w:r w:rsidRPr="00BC374A">
        <w:rPr>
          <w:rFonts w:eastAsia="標楷體" w:hint="eastAsia"/>
          <w:color w:val="000000"/>
          <w:sz w:val="28"/>
          <w:szCs w:val="28"/>
        </w:rPr>
        <w:t>鼓勵男性參與家務與家庭照顧分工，促進工作與家庭平衡。</w:t>
      </w:r>
    </w:p>
    <w:p w:rsidR="006622C0" w:rsidRPr="00BC374A" w:rsidRDefault="006622C0" w:rsidP="002D0B56">
      <w:pPr>
        <w:numPr>
          <w:ilvl w:val="0"/>
          <w:numId w:val="2"/>
        </w:numPr>
        <w:spacing w:line="240" w:lineRule="atLeast"/>
        <w:ind w:left="851" w:rightChars="-139" w:right="-334" w:hanging="853"/>
        <w:jc w:val="both"/>
        <w:rPr>
          <w:rFonts w:eastAsia="標楷體"/>
          <w:color w:val="000000"/>
          <w:sz w:val="28"/>
          <w:szCs w:val="28"/>
        </w:rPr>
      </w:pPr>
      <w:r w:rsidRPr="00BC374A">
        <w:rPr>
          <w:rFonts w:eastAsia="標楷體" w:hint="eastAsia"/>
          <w:color w:val="000000"/>
          <w:sz w:val="28"/>
          <w:szCs w:val="28"/>
        </w:rPr>
        <w:t>除倡議正視家庭價值外，並重視多元家庭之性別平等關係，將家庭納入性暴力防治工作之範圍，以建構新家庭價值。</w:t>
      </w:r>
    </w:p>
    <w:p w:rsidR="006622C0" w:rsidRPr="00BC374A" w:rsidRDefault="006622C0" w:rsidP="002D0B56">
      <w:pPr>
        <w:numPr>
          <w:ilvl w:val="0"/>
          <w:numId w:val="2"/>
        </w:numPr>
        <w:spacing w:line="240" w:lineRule="atLeast"/>
        <w:ind w:left="851" w:rightChars="-139" w:right="-334" w:hanging="853"/>
        <w:jc w:val="both"/>
        <w:rPr>
          <w:rFonts w:eastAsia="標楷體"/>
          <w:color w:val="000000"/>
          <w:sz w:val="28"/>
          <w:szCs w:val="28"/>
        </w:rPr>
      </w:pPr>
      <w:r w:rsidRPr="00BC374A">
        <w:rPr>
          <w:rFonts w:eastAsia="標楷體" w:hint="eastAsia"/>
          <w:color w:val="000000"/>
          <w:sz w:val="28"/>
          <w:szCs w:val="28"/>
        </w:rPr>
        <w:t>強化並落實研發具性別平等意識的職前與在職訓練課程。</w:t>
      </w:r>
    </w:p>
    <w:p w:rsidR="006622C0" w:rsidRPr="00BC374A" w:rsidRDefault="006622C0" w:rsidP="002D0B56">
      <w:pPr>
        <w:numPr>
          <w:ilvl w:val="0"/>
          <w:numId w:val="2"/>
        </w:numPr>
        <w:tabs>
          <w:tab w:val="left" w:pos="851"/>
        </w:tabs>
        <w:spacing w:line="240" w:lineRule="atLeast"/>
        <w:ind w:left="851" w:rightChars="-139" w:right="-334" w:hanging="853"/>
        <w:jc w:val="both"/>
        <w:rPr>
          <w:rFonts w:eastAsia="標楷體"/>
          <w:color w:val="000000"/>
          <w:sz w:val="28"/>
          <w:szCs w:val="28"/>
        </w:rPr>
      </w:pPr>
      <w:r w:rsidRPr="00BC374A">
        <w:rPr>
          <w:rFonts w:eastAsia="標楷體" w:hint="eastAsia"/>
          <w:color w:val="000000"/>
          <w:sz w:val="28"/>
          <w:szCs w:val="28"/>
          <w:u w:val="single"/>
        </w:rPr>
        <w:t>落實推動各場域（家庭</w:t>
      </w:r>
      <w:r w:rsidRPr="00BC374A">
        <w:rPr>
          <w:rFonts w:eastAsia="標楷體" w:hint="eastAsia"/>
          <w:color w:val="000000"/>
          <w:sz w:val="28"/>
          <w:szCs w:val="28"/>
        </w:rPr>
        <w:t>、學校、職場）</w:t>
      </w:r>
      <w:r w:rsidRPr="00BC374A">
        <w:rPr>
          <w:rFonts w:eastAsia="標楷體" w:hint="eastAsia"/>
          <w:color w:val="000000"/>
          <w:sz w:val="28"/>
          <w:szCs w:val="28"/>
          <w:u w:val="single"/>
        </w:rPr>
        <w:t>及各生命週期（如幼兒、高齡者）之性別平等教育，包括培育具性別意識的教育人員</w:t>
      </w:r>
      <w:r w:rsidRPr="00BC374A">
        <w:rPr>
          <w:rFonts w:eastAsia="標楷體" w:hint="eastAsia"/>
          <w:color w:val="000000"/>
          <w:sz w:val="28"/>
          <w:szCs w:val="28"/>
        </w:rPr>
        <w:t>與師資、</w:t>
      </w:r>
      <w:r w:rsidRPr="00BC374A">
        <w:rPr>
          <w:rFonts w:eastAsia="標楷體" w:hint="eastAsia"/>
          <w:color w:val="000000"/>
          <w:sz w:val="28"/>
          <w:szCs w:val="28"/>
          <w:u w:val="single"/>
        </w:rPr>
        <w:t>強化職前或在職訓練、各教育機構性別平等教育之實施與評鑑</w:t>
      </w:r>
      <w:r w:rsidRPr="00BC374A">
        <w:rPr>
          <w:rFonts w:eastAsia="標楷體" w:hint="eastAsia"/>
          <w:color w:val="000000"/>
          <w:sz w:val="28"/>
          <w:szCs w:val="28"/>
        </w:rPr>
        <w:t>（如學制內各級學校、學制外社區大學、</w:t>
      </w:r>
      <w:r w:rsidRPr="00BC374A">
        <w:rPr>
          <w:rFonts w:eastAsia="標楷體" w:hint="eastAsia"/>
          <w:color w:val="000000"/>
          <w:sz w:val="28"/>
          <w:szCs w:val="28"/>
          <w:u w:val="single"/>
        </w:rPr>
        <w:t>家庭教育中心</w:t>
      </w:r>
      <w:r w:rsidRPr="00BC374A">
        <w:rPr>
          <w:rFonts w:eastAsia="標楷體" w:hint="eastAsia"/>
          <w:color w:val="000000"/>
          <w:sz w:val="28"/>
          <w:szCs w:val="28"/>
        </w:rPr>
        <w:t>、終身學習及特殊教育機構等）</w:t>
      </w:r>
    </w:p>
    <w:p w:rsidR="006622C0" w:rsidRPr="00BC374A" w:rsidRDefault="006622C0" w:rsidP="002D0B56">
      <w:pPr>
        <w:numPr>
          <w:ilvl w:val="0"/>
          <w:numId w:val="2"/>
        </w:numPr>
        <w:spacing w:line="240" w:lineRule="atLeast"/>
        <w:ind w:left="851" w:rightChars="-139" w:right="-334" w:hanging="853"/>
        <w:jc w:val="both"/>
        <w:rPr>
          <w:rFonts w:eastAsia="標楷體"/>
          <w:color w:val="000000"/>
          <w:sz w:val="28"/>
          <w:szCs w:val="28"/>
        </w:rPr>
      </w:pPr>
      <w:r w:rsidRPr="00BC374A">
        <w:rPr>
          <w:rFonts w:eastAsia="標楷體" w:hint="eastAsia"/>
          <w:color w:val="000000"/>
          <w:sz w:val="28"/>
          <w:szCs w:val="28"/>
        </w:rPr>
        <w:t>結合推動家庭教育管道，推動男性參與性別平等教育工作。</w:t>
      </w:r>
    </w:p>
    <w:p w:rsidR="006622C0" w:rsidRPr="00BC374A" w:rsidRDefault="006622C0" w:rsidP="002D0B56">
      <w:pPr>
        <w:numPr>
          <w:ilvl w:val="0"/>
          <w:numId w:val="2"/>
        </w:numPr>
        <w:tabs>
          <w:tab w:val="left" w:pos="709"/>
          <w:tab w:val="left" w:pos="851"/>
        </w:tabs>
        <w:spacing w:line="240" w:lineRule="atLeast"/>
        <w:ind w:left="851" w:rightChars="-139" w:right="-334" w:hanging="853"/>
        <w:jc w:val="both"/>
        <w:rPr>
          <w:rFonts w:eastAsia="標楷體"/>
          <w:color w:val="000000"/>
          <w:sz w:val="28"/>
          <w:szCs w:val="28"/>
          <w:u w:val="single"/>
        </w:rPr>
      </w:pPr>
      <w:r w:rsidRPr="00BC374A">
        <w:rPr>
          <w:rFonts w:eastAsia="標楷體" w:hint="eastAsia"/>
          <w:color w:val="000000"/>
          <w:sz w:val="28"/>
          <w:szCs w:val="28"/>
          <w:u w:val="single"/>
        </w:rPr>
        <w:t>積極鼓勵多元文化教育的推動與實施，強化</w:t>
      </w:r>
      <w:r w:rsidRPr="00BC374A">
        <w:rPr>
          <w:rFonts w:eastAsia="標楷體" w:hint="eastAsia"/>
          <w:color w:val="000000"/>
          <w:sz w:val="28"/>
          <w:szCs w:val="28"/>
        </w:rPr>
        <w:t>學校教育</w:t>
      </w:r>
      <w:r w:rsidRPr="00BC374A">
        <w:rPr>
          <w:rFonts w:eastAsia="標楷體" w:hint="eastAsia"/>
          <w:color w:val="000000"/>
          <w:sz w:val="28"/>
          <w:szCs w:val="28"/>
          <w:u w:val="single"/>
        </w:rPr>
        <w:t>與社會教育師資之多元文化知能。</w:t>
      </w:r>
    </w:p>
    <w:p w:rsidR="006622C0" w:rsidRPr="00BC374A" w:rsidRDefault="006622C0" w:rsidP="002D0B56">
      <w:pPr>
        <w:numPr>
          <w:ilvl w:val="0"/>
          <w:numId w:val="2"/>
        </w:numPr>
        <w:spacing w:line="240" w:lineRule="atLeast"/>
        <w:ind w:left="851" w:rightChars="-139" w:right="-334" w:hanging="853"/>
        <w:jc w:val="both"/>
        <w:rPr>
          <w:rFonts w:eastAsia="標楷體"/>
          <w:color w:val="000000"/>
          <w:sz w:val="28"/>
          <w:szCs w:val="28"/>
        </w:rPr>
      </w:pPr>
      <w:r w:rsidRPr="00BC374A">
        <w:rPr>
          <w:rFonts w:eastAsia="標楷體" w:hint="eastAsia"/>
          <w:color w:val="000000"/>
          <w:sz w:val="28"/>
          <w:szCs w:val="28"/>
        </w:rPr>
        <w:t>於學校與社區推動性別暴力零容忍之宣導方案，包括性別歧視、性騷擾、約會暴力、分手暴力等之</w:t>
      </w:r>
      <w:r w:rsidRPr="00381601">
        <w:rPr>
          <w:rFonts w:eastAsia="標楷體" w:hint="eastAsia"/>
          <w:color w:val="000000"/>
          <w:sz w:val="28"/>
          <w:szCs w:val="28"/>
        </w:rPr>
        <w:t>認識與防範。</w:t>
      </w:r>
    </w:p>
    <w:p w:rsidR="006622C0" w:rsidRPr="00BC374A" w:rsidRDefault="006622C0" w:rsidP="00236603">
      <w:pPr>
        <w:numPr>
          <w:ilvl w:val="0"/>
          <w:numId w:val="7"/>
        </w:numPr>
        <w:tabs>
          <w:tab w:val="left" w:pos="567"/>
        </w:tabs>
        <w:spacing w:beforeLines="50" w:afterLines="50" w:line="240" w:lineRule="atLeast"/>
        <w:ind w:rightChars="-139" w:right="-334"/>
        <w:jc w:val="both"/>
        <w:rPr>
          <w:rFonts w:eastAsia="標楷體"/>
          <w:b/>
          <w:color w:val="000000"/>
          <w:sz w:val="28"/>
          <w:szCs w:val="28"/>
        </w:rPr>
      </w:pPr>
      <w:r w:rsidRPr="00BC374A">
        <w:rPr>
          <w:rFonts w:eastAsia="標楷體" w:hint="eastAsia"/>
          <w:b/>
          <w:color w:val="000000"/>
          <w:sz w:val="28"/>
          <w:szCs w:val="28"/>
        </w:rPr>
        <w:t>行政院</w:t>
      </w:r>
      <w:r w:rsidRPr="00BC374A">
        <w:rPr>
          <w:rFonts w:hint="eastAsia"/>
          <w:b/>
          <w:color w:val="000000"/>
          <w:sz w:val="28"/>
          <w:szCs w:val="28"/>
        </w:rPr>
        <w:t>「</w:t>
      </w:r>
      <w:r w:rsidRPr="00BC374A">
        <w:rPr>
          <w:rFonts w:eastAsia="標楷體" w:hint="eastAsia"/>
          <w:b/>
          <w:color w:val="000000"/>
          <w:sz w:val="28"/>
          <w:szCs w:val="28"/>
        </w:rPr>
        <w:t>提升女孩權益行動方案</w:t>
      </w:r>
      <w:r w:rsidRPr="00BC374A">
        <w:rPr>
          <w:rFonts w:hint="eastAsia"/>
          <w:b/>
          <w:color w:val="000000"/>
          <w:sz w:val="28"/>
          <w:szCs w:val="28"/>
        </w:rPr>
        <w:t>」</w:t>
      </w:r>
    </w:p>
    <w:p w:rsidR="006622C0" w:rsidRPr="00BC374A" w:rsidRDefault="006622C0" w:rsidP="00236603">
      <w:pPr>
        <w:spacing w:afterLines="50" w:line="240" w:lineRule="atLeast"/>
        <w:ind w:left="142" w:rightChars="-139" w:right="-334" w:firstLineChars="202" w:firstLine="566"/>
        <w:jc w:val="both"/>
        <w:rPr>
          <w:rFonts w:eastAsia="標楷體"/>
          <w:color w:val="000000"/>
          <w:sz w:val="28"/>
          <w:szCs w:val="28"/>
        </w:rPr>
      </w:pPr>
      <w:r w:rsidRPr="00BC374A">
        <w:rPr>
          <w:rFonts w:eastAsia="標楷體" w:hint="eastAsia"/>
          <w:color w:val="000000"/>
          <w:sz w:val="28"/>
          <w:szCs w:val="28"/>
        </w:rPr>
        <w:t>聯合國於</w:t>
      </w:r>
      <w:r w:rsidRPr="00BC374A">
        <w:rPr>
          <w:rFonts w:eastAsia="標楷體"/>
          <w:color w:val="000000"/>
          <w:sz w:val="28"/>
          <w:szCs w:val="28"/>
        </w:rPr>
        <w:t>2011</w:t>
      </w:r>
      <w:r w:rsidRPr="00BC374A">
        <w:rPr>
          <w:rFonts w:eastAsia="標楷體" w:hint="eastAsia"/>
          <w:color w:val="000000"/>
          <w:sz w:val="28"/>
          <w:szCs w:val="28"/>
        </w:rPr>
        <w:t>年</w:t>
      </w:r>
      <w:r w:rsidRPr="00BC374A">
        <w:rPr>
          <w:rFonts w:eastAsia="標楷體"/>
          <w:color w:val="000000"/>
          <w:sz w:val="28"/>
          <w:szCs w:val="28"/>
        </w:rPr>
        <w:t>12</w:t>
      </w:r>
      <w:r w:rsidRPr="00BC374A">
        <w:rPr>
          <w:rFonts w:eastAsia="標楷體" w:hint="eastAsia"/>
          <w:color w:val="000000"/>
          <w:sz w:val="28"/>
          <w:szCs w:val="28"/>
        </w:rPr>
        <w:t>月</w:t>
      </w:r>
      <w:r w:rsidRPr="00BC374A">
        <w:rPr>
          <w:rFonts w:eastAsia="標楷體"/>
          <w:color w:val="000000"/>
          <w:sz w:val="28"/>
          <w:szCs w:val="28"/>
        </w:rPr>
        <w:t>19</w:t>
      </w:r>
      <w:r w:rsidRPr="00BC374A">
        <w:rPr>
          <w:rFonts w:eastAsia="標楷體" w:hint="eastAsia"/>
          <w:color w:val="000000"/>
          <w:sz w:val="28"/>
          <w:szCs w:val="28"/>
        </w:rPr>
        <w:t>日第</w:t>
      </w:r>
      <w:r w:rsidRPr="00BC374A">
        <w:rPr>
          <w:rFonts w:eastAsia="標楷體"/>
          <w:color w:val="000000"/>
          <w:sz w:val="28"/>
          <w:szCs w:val="28"/>
        </w:rPr>
        <w:t>89</w:t>
      </w:r>
      <w:r w:rsidRPr="00BC374A">
        <w:rPr>
          <w:rFonts w:eastAsia="標楷體" w:hint="eastAsia"/>
          <w:color w:val="000000"/>
          <w:sz w:val="28"/>
          <w:szCs w:val="28"/>
        </w:rPr>
        <w:t>次全體會議通過，指定每年</w:t>
      </w:r>
      <w:r w:rsidRPr="00BC374A">
        <w:rPr>
          <w:rFonts w:eastAsia="標楷體"/>
          <w:color w:val="000000"/>
          <w:sz w:val="28"/>
          <w:szCs w:val="28"/>
        </w:rPr>
        <w:t>10</w:t>
      </w:r>
      <w:r w:rsidRPr="00BC374A">
        <w:rPr>
          <w:rFonts w:eastAsia="標楷體" w:hint="eastAsia"/>
          <w:color w:val="000000"/>
          <w:sz w:val="28"/>
          <w:szCs w:val="28"/>
        </w:rPr>
        <w:t>月</w:t>
      </w:r>
      <w:r w:rsidRPr="00BC374A">
        <w:rPr>
          <w:rFonts w:eastAsia="標楷體"/>
          <w:color w:val="000000"/>
          <w:sz w:val="28"/>
          <w:szCs w:val="28"/>
        </w:rPr>
        <w:t>11</w:t>
      </w:r>
      <w:r w:rsidRPr="00BC374A">
        <w:rPr>
          <w:rFonts w:eastAsia="標楷體" w:hint="eastAsia"/>
          <w:color w:val="000000"/>
          <w:sz w:val="28"/>
          <w:szCs w:val="28"/>
        </w:rPr>
        <w:t>日為全球「國際女孩日」（</w:t>
      </w:r>
      <w:r w:rsidRPr="00BC374A">
        <w:rPr>
          <w:rFonts w:eastAsia="標楷體"/>
          <w:color w:val="000000"/>
          <w:sz w:val="28"/>
          <w:szCs w:val="28"/>
        </w:rPr>
        <w:t>International Day of the Girl Child</w:t>
      </w:r>
      <w:r w:rsidRPr="00BC374A">
        <w:rPr>
          <w:rFonts w:eastAsia="標楷體" w:hint="eastAsia"/>
          <w:color w:val="000000"/>
          <w:sz w:val="28"/>
          <w:szCs w:val="28"/>
        </w:rPr>
        <w:t>），從</w:t>
      </w:r>
      <w:r w:rsidRPr="00BC374A">
        <w:rPr>
          <w:rFonts w:eastAsia="標楷體"/>
          <w:color w:val="000000"/>
          <w:sz w:val="28"/>
          <w:szCs w:val="28"/>
        </w:rPr>
        <w:t>2012</w:t>
      </w:r>
      <w:r w:rsidRPr="00BC374A">
        <w:rPr>
          <w:rFonts w:eastAsia="標楷體" w:hint="eastAsia"/>
          <w:color w:val="000000"/>
          <w:sz w:val="28"/>
          <w:szCs w:val="28"/>
        </w:rPr>
        <w:t>年起每年為此舉辦活動，並發表聲明，要求各國培力及投資女孩、實現包括消除貧窮和赤貧在內所有千禧年發展目標及使女孩實際參與影響自身權益的決策、打破歧視與暴力循環、促進及保護女孩充分享有其人權，增強女孩能力，並獲得家庭、社會及另一性別（男性）之積極支持與參與。行政院性別平等處已於</w:t>
      </w:r>
      <w:r w:rsidRPr="00BC374A">
        <w:rPr>
          <w:rFonts w:eastAsia="標楷體"/>
          <w:color w:val="000000"/>
          <w:sz w:val="28"/>
          <w:szCs w:val="28"/>
        </w:rPr>
        <w:t>101</w:t>
      </w:r>
      <w:r w:rsidRPr="00BC374A">
        <w:rPr>
          <w:rFonts w:eastAsia="標楷體" w:hint="eastAsia"/>
          <w:color w:val="000000"/>
          <w:sz w:val="28"/>
          <w:szCs w:val="28"/>
        </w:rPr>
        <w:t>年</w:t>
      </w:r>
      <w:r w:rsidRPr="00BC374A">
        <w:rPr>
          <w:rFonts w:eastAsia="標楷體"/>
          <w:color w:val="000000"/>
          <w:sz w:val="28"/>
          <w:szCs w:val="28"/>
        </w:rPr>
        <w:t>10</w:t>
      </w:r>
      <w:r w:rsidRPr="00BC374A">
        <w:rPr>
          <w:rFonts w:eastAsia="標楷體" w:hint="eastAsia"/>
          <w:color w:val="000000"/>
          <w:sz w:val="28"/>
          <w:szCs w:val="28"/>
        </w:rPr>
        <w:t>月</w:t>
      </w:r>
      <w:r w:rsidRPr="00BC374A">
        <w:rPr>
          <w:rFonts w:eastAsia="標楷體"/>
          <w:color w:val="000000"/>
          <w:sz w:val="28"/>
          <w:szCs w:val="28"/>
        </w:rPr>
        <w:t>11</w:t>
      </w:r>
      <w:r w:rsidRPr="00BC374A">
        <w:rPr>
          <w:rFonts w:eastAsia="標楷體" w:hint="eastAsia"/>
          <w:color w:val="000000"/>
          <w:sz w:val="28"/>
          <w:szCs w:val="28"/>
        </w:rPr>
        <w:t>日「國際女孩日」發布「提升女孩權益行動方案」，其中關注「提供家庭成員具性別平等觀念之親職教育及家庭教育」，具體執行措施包括：</w:t>
      </w:r>
    </w:p>
    <w:p w:rsidR="006622C0" w:rsidRPr="00BC374A" w:rsidRDefault="006622C0" w:rsidP="00236603">
      <w:pPr>
        <w:numPr>
          <w:ilvl w:val="0"/>
          <w:numId w:val="3"/>
        </w:numPr>
        <w:tabs>
          <w:tab w:val="left" w:pos="709"/>
        </w:tabs>
        <w:spacing w:afterLines="50" w:line="240" w:lineRule="atLeast"/>
        <w:ind w:left="709" w:rightChars="-139" w:right="-334" w:hanging="709"/>
        <w:jc w:val="both"/>
        <w:rPr>
          <w:rFonts w:eastAsia="標楷體"/>
          <w:color w:val="000000"/>
          <w:sz w:val="28"/>
          <w:szCs w:val="28"/>
        </w:rPr>
      </w:pPr>
      <w:r w:rsidRPr="00BC374A">
        <w:rPr>
          <w:rFonts w:eastAsia="標楷體" w:hint="eastAsia"/>
          <w:color w:val="000000"/>
          <w:sz w:val="28"/>
          <w:szCs w:val="28"/>
        </w:rPr>
        <w:t>加強引導父母親建立正確、健康之性觀念與態度。</w:t>
      </w:r>
    </w:p>
    <w:p w:rsidR="006622C0" w:rsidRPr="00BC374A" w:rsidRDefault="006622C0" w:rsidP="00236603">
      <w:pPr>
        <w:numPr>
          <w:ilvl w:val="0"/>
          <w:numId w:val="3"/>
        </w:numPr>
        <w:tabs>
          <w:tab w:val="left" w:pos="709"/>
        </w:tabs>
        <w:spacing w:afterLines="50" w:line="240" w:lineRule="atLeast"/>
        <w:ind w:left="709" w:rightChars="-139" w:right="-334" w:hanging="709"/>
        <w:jc w:val="both"/>
        <w:rPr>
          <w:rFonts w:eastAsia="標楷體"/>
          <w:color w:val="000000"/>
          <w:sz w:val="28"/>
          <w:szCs w:val="28"/>
        </w:rPr>
      </w:pPr>
      <w:r w:rsidRPr="00BC374A">
        <w:rPr>
          <w:rFonts w:eastAsia="標楷體" w:hint="eastAsia"/>
          <w:color w:val="000000"/>
          <w:sz w:val="28"/>
          <w:szCs w:val="28"/>
        </w:rPr>
        <w:t>強化家庭教育工作之性別平等意識，辦理家庭教育融入性別平等議題培力計畫，避免複製性別刻板化的教養態度。</w:t>
      </w:r>
    </w:p>
    <w:p w:rsidR="006622C0" w:rsidRPr="00BC374A" w:rsidRDefault="006622C0" w:rsidP="00236603">
      <w:pPr>
        <w:numPr>
          <w:ilvl w:val="0"/>
          <w:numId w:val="4"/>
        </w:numPr>
        <w:tabs>
          <w:tab w:val="left" w:pos="709"/>
        </w:tabs>
        <w:spacing w:afterLines="50" w:line="240" w:lineRule="atLeast"/>
        <w:ind w:rightChars="-139" w:right="-334" w:hanging="294"/>
        <w:jc w:val="both"/>
        <w:rPr>
          <w:rFonts w:eastAsia="標楷體"/>
          <w:color w:val="000000"/>
          <w:sz w:val="28"/>
          <w:szCs w:val="28"/>
        </w:rPr>
      </w:pPr>
      <w:r w:rsidRPr="00BC374A">
        <w:rPr>
          <w:rFonts w:eastAsia="標楷體" w:hint="eastAsia"/>
          <w:color w:val="000000"/>
          <w:sz w:val="28"/>
          <w:szCs w:val="28"/>
        </w:rPr>
        <w:t>個體人格個性養成的關鍵在兒童及青少年期，如何在此時傳遞正確性別觀念對於孩子將來的性別意識具有決定性影響。從出生開始，父母常常以性別二分的方式對待</w:t>
      </w:r>
      <w:r w:rsidRPr="00BC374A">
        <w:rPr>
          <w:rFonts w:eastAsia="標楷體"/>
          <w:color w:val="000000"/>
          <w:sz w:val="28"/>
          <w:szCs w:val="28"/>
        </w:rPr>
        <w:t>/</w:t>
      </w:r>
      <w:r w:rsidRPr="00BC374A">
        <w:rPr>
          <w:rFonts w:eastAsia="標楷體" w:hint="eastAsia"/>
          <w:color w:val="000000"/>
          <w:sz w:val="28"/>
          <w:szCs w:val="28"/>
        </w:rPr>
        <w:t>教養男女孩，具體而微地表現在生活中的每個細節，諸如顏色的使用、玩具的選擇、食量的設定、哄玩的方式等，這樣的僵化二分，不知不覺在養育孩子過程中傳遞形塑我們的下一代，剝奪了男孩和女孩全面適性、多元發展的可能。</w:t>
      </w:r>
    </w:p>
    <w:p w:rsidR="006622C0" w:rsidRPr="00BC374A" w:rsidRDefault="006622C0" w:rsidP="00236603">
      <w:pPr>
        <w:numPr>
          <w:ilvl w:val="0"/>
          <w:numId w:val="4"/>
        </w:numPr>
        <w:tabs>
          <w:tab w:val="left" w:pos="709"/>
        </w:tabs>
        <w:spacing w:afterLines="50" w:line="240" w:lineRule="atLeast"/>
        <w:ind w:rightChars="-139" w:right="-334" w:hanging="294"/>
        <w:jc w:val="both"/>
        <w:rPr>
          <w:rFonts w:eastAsia="標楷體"/>
          <w:color w:val="000000"/>
          <w:sz w:val="28"/>
          <w:szCs w:val="28"/>
        </w:rPr>
      </w:pPr>
      <w:r w:rsidRPr="00BC374A">
        <w:rPr>
          <w:rFonts w:eastAsia="標楷體" w:hint="eastAsia"/>
          <w:color w:val="000000"/>
          <w:sz w:val="28"/>
          <w:szCs w:val="28"/>
        </w:rPr>
        <w:t>優劣高低的價值觀也是傳統教養上的缺失，譬如男孩的生命價值高於女孩，男性特質優於女性特質，男孩的人生發展也優於女孩等等，女兒的隱性不見，沒有如同兒子般地受到重視，逐漸影響女孩成長過程中對自我價值的看法，也難以培養足夠的自信與自尊。因此，要達成性別平等的家庭社會環境，有必要透過提供具有時代性、多元且富含性別平等的親職教育，提升現代父母的自我覺察與自我成長能力，產出高度自覺性別意識，協助父母親具體落實在親子互動中，破除具性別框架之親職教養態度。</w:t>
      </w:r>
    </w:p>
    <w:p w:rsidR="006622C0" w:rsidRPr="00BC374A" w:rsidRDefault="006622C0" w:rsidP="00236603">
      <w:pPr>
        <w:spacing w:afterLines="50" w:line="240" w:lineRule="atLeast"/>
        <w:ind w:left="658" w:rightChars="-139" w:right="-334" w:hangingChars="235" w:hanging="658"/>
        <w:jc w:val="both"/>
        <w:rPr>
          <w:rFonts w:eastAsia="標楷體"/>
          <w:color w:val="000000"/>
          <w:sz w:val="28"/>
          <w:szCs w:val="28"/>
        </w:rPr>
      </w:pPr>
      <w:r w:rsidRPr="00BC374A">
        <w:rPr>
          <w:rFonts w:eastAsia="標楷體"/>
          <w:color w:val="000000"/>
          <w:sz w:val="28"/>
          <w:szCs w:val="28"/>
        </w:rPr>
        <w:t>(</w:t>
      </w:r>
      <w:r w:rsidRPr="00BC374A">
        <w:rPr>
          <w:rFonts w:eastAsia="標楷體" w:hint="eastAsia"/>
          <w:color w:val="000000"/>
          <w:sz w:val="28"/>
          <w:szCs w:val="28"/>
        </w:rPr>
        <w:t>三</w:t>
      </w:r>
      <w:bookmarkStart w:id="0" w:name="_GoBack"/>
      <w:bookmarkEnd w:id="0"/>
      <w:r w:rsidRPr="00BC374A">
        <w:rPr>
          <w:rFonts w:eastAsia="標楷體"/>
          <w:color w:val="000000"/>
          <w:sz w:val="28"/>
          <w:szCs w:val="28"/>
        </w:rPr>
        <w:t>)</w:t>
      </w:r>
      <w:r w:rsidRPr="00BC374A">
        <w:rPr>
          <w:color w:val="000000"/>
        </w:rPr>
        <w:t xml:space="preserve"> </w:t>
      </w:r>
      <w:r w:rsidRPr="00BC374A">
        <w:rPr>
          <w:rFonts w:eastAsia="標楷體"/>
          <w:color w:val="000000"/>
          <w:sz w:val="28"/>
          <w:szCs w:val="28"/>
        </w:rPr>
        <w:tab/>
      </w:r>
      <w:r w:rsidRPr="00BC374A">
        <w:rPr>
          <w:rFonts w:eastAsia="標楷體" w:hint="eastAsia"/>
          <w:color w:val="000000"/>
          <w:sz w:val="28"/>
          <w:szCs w:val="28"/>
        </w:rPr>
        <w:t>加強鼓勵父母共同參加育兒親職教育課程，以提升父母雙方之親職照顧及性別平等知能。</w:t>
      </w:r>
    </w:p>
    <w:p w:rsidR="006622C0" w:rsidRPr="00BC374A" w:rsidRDefault="006622C0" w:rsidP="00236603">
      <w:pPr>
        <w:numPr>
          <w:ilvl w:val="0"/>
          <w:numId w:val="7"/>
        </w:numPr>
        <w:tabs>
          <w:tab w:val="left" w:pos="567"/>
        </w:tabs>
        <w:spacing w:beforeLines="50" w:afterLines="50" w:line="240" w:lineRule="atLeast"/>
        <w:ind w:rightChars="-139" w:right="-334"/>
        <w:jc w:val="both"/>
        <w:rPr>
          <w:rFonts w:eastAsia="標楷體"/>
          <w:b/>
          <w:color w:val="000000"/>
          <w:sz w:val="28"/>
          <w:szCs w:val="28"/>
        </w:rPr>
      </w:pPr>
      <w:r w:rsidRPr="00BC374A">
        <w:rPr>
          <w:rFonts w:eastAsia="標楷體" w:hint="eastAsia"/>
          <w:b/>
          <w:color w:val="000000"/>
          <w:sz w:val="28"/>
          <w:szCs w:val="28"/>
        </w:rPr>
        <w:t>性別平等教育法、教育部「性別平等教育白皮書」</w:t>
      </w:r>
      <w:r w:rsidRPr="00BC374A">
        <w:rPr>
          <w:rFonts w:eastAsia="標楷體"/>
          <w:b/>
          <w:color w:val="000000"/>
          <w:sz w:val="28"/>
          <w:szCs w:val="28"/>
        </w:rPr>
        <w:t>(99</w:t>
      </w:r>
      <w:r w:rsidRPr="00BC374A">
        <w:rPr>
          <w:rFonts w:eastAsia="標楷體" w:hint="eastAsia"/>
          <w:b/>
          <w:color w:val="000000"/>
          <w:sz w:val="28"/>
          <w:szCs w:val="28"/>
        </w:rPr>
        <w:t>年</w:t>
      </w:r>
      <w:r w:rsidRPr="00BC374A">
        <w:rPr>
          <w:rFonts w:eastAsia="標楷體"/>
          <w:b/>
          <w:color w:val="000000"/>
          <w:sz w:val="28"/>
          <w:szCs w:val="28"/>
        </w:rPr>
        <w:t>3</w:t>
      </w:r>
      <w:r w:rsidRPr="00BC374A">
        <w:rPr>
          <w:rFonts w:eastAsia="標楷體" w:hint="eastAsia"/>
          <w:b/>
          <w:color w:val="000000"/>
          <w:sz w:val="28"/>
          <w:szCs w:val="28"/>
        </w:rPr>
        <w:t>月發布</w:t>
      </w:r>
      <w:r w:rsidRPr="00BC374A">
        <w:rPr>
          <w:rFonts w:eastAsia="標楷體"/>
          <w:b/>
          <w:color w:val="000000"/>
          <w:sz w:val="28"/>
          <w:szCs w:val="28"/>
        </w:rPr>
        <w:t>)</w:t>
      </w:r>
    </w:p>
    <w:p w:rsidR="006622C0" w:rsidRPr="00BC374A" w:rsidRDefault="006622C0" w:rsidP="00236603">
      <w:pPr>
        <w:tabs>
          <w:tab w:val="left" w:pos="567"/>
        </w:tabs>
        <w:spacing w:afterLines="20" w:line="240" w:lineRule="atLeast"/>
        <w:ind w:left="-62" w:rightChars="-139" w:right="-334" w:firstLineChars="223" w:firstLine="624"/>
        <w:jc w:val="both"/>
        <w:rPr>
          <w:rFonts w:eastAsia="標楷體"/>
          <w:color w:val="000000"/>
          <w:sz w:val="28"/>
          <w:szCs w:val="28"/>
        </w:rPr>
      </w:pPr>
      <w:r w:rsidRPr="00BC374A">
        <w:rPr>
          <w:rFonts w:eastAsia="標楷體" w:hint="eastAsia"/>
          <w:color w:val="000000"/>
          <w:sz w:val="28"/>
          <w:szCs w:val="28"/>
        </w:rPr>
        <w:t>白皮書工作項目</w:t>
      </w:r>
    </w:p>
    <w:p w:rsidR="006622C0" w:rsidRPr="00BC374A" w:rsidRDefault="006622C0" w:rsidP="00AB3A9B">
      <w:pPr>
        <w:numPr>
          <w:ilvl w:val="0"/>
          <w:numId w:val="10"/>
        </w:numPr>
        <w:spacing w:line="240" w:lineRule="atLeast"/>
        <w:ind w:left="567" w:rightChars="-139" w:right="-334" w:hanging="627"/>
        <w:jc w:val="both"/>
        <w:rPr>
          <w:rFonts w:eastAsia="標楷體"/>
          <w:color w:val="000000"/>
          <w:sz w:val="28"/>
          <w:szCs w:val="28"/>
        </w:rPr>
      </w:pPr>
      <w:r w:rsidRPr="00BC374A">
        <w:rPr>
          <w:rFonts w:eastAsia="標楷體" w:hint="eastAsia"/>
          <w:color w:val="000000"/>
          <w:sz w:val="28"/>
          <w:szCs w:val="28"/>
        </w:rPr>
        <w:t>督導地方政府整合運用家庭教育和社會教育機構之相關資源，推展性別平等教育。（中程）</w:t>
      </w:r>
    </w:p>
    <w:p w:rsidR="006622C0" w:rsidRPr="00BC374A" w:rsidRDefault="006622C0" w:rsidP="00AB3A9B">
      <w:pPr>
        <w:numPr>
          <w:ilvl w:val="0"/>
          <w:numId w:val="10"/>
        </w:numPr>
        <w:spacing w:line="240" w:lineRule="atLeast"/>
        <w:ind w:left="567" w:rightChars="-139" w:right="-334" w:hanging="627"/>
        <w:jc w:val="both"/>
        <w:rPr>
          <w:rFonts w:eastAsia="標楷體"/>
          <w:color w:val="000000"/>
          <w:sz w:val="28"/>
          <w:szCs w:val="28"/>
        </w:rPr>
      </w:pPr>
      <w:r w:rsidRPr="00BC374A">
        <w:rPr>
          <w:rFonts w:eastAsia="標楷體" w:hint="eastAsia"/>
          <w:color w:val="000000"/>
          <w:sz w:val="28"/>
          <w:szCs w:val="28"/>
        </w:rPr>
        <w:t>定期提供各類研習機會，增強工作同仁及志工相關知能。（近程）</w:t>
      </w:r>
    </w:p>
    <w:p w:rsidR="006622C0" w:rsidRPr="00BC374A" w:rsidRDefault="006622C0" w:rsidP="00AB3A9B">
      <w:pPr>
        <w:numPr>
          <w:ilvl w:val="0"/>
          <w:numId w:val="10"/>
        </w:numPr>
        <w:spacing w:line="240" w:lineRule="atLeast"/>
        <w:ind w:left="567" w:rightChars="-139" w:right="-334" w:hanging="627"/>
        <w:jc w:val="both"/>
        <w:rPr>
          <w:rFonts w:eastAsia="標楷體"/>
          <w:color w:val="000000"/>
          <w:sz w:val="28"/>
          <w:szCs w:val="28"/>
        </w:rPr>
      </w:pPr>
      <w:r w:rsidRPr="00BC374A">
        <w:rPr>
          <w:rFonts w:eastAsia="標楷體" w:hint="eastAsia"/>
          <w:color w:val="000000"/>
          <w:sz w:val="28"/>
          <w:szCs w:val="28"/>
        </w:rPr>
        <w:t>定期訪視評鑑縣市政府家庭教育中心及督導國立社教機構落實性別平等教育工作。（近程）</w:t>
      </w:r>
    </w:p>
    <w:p w:rsidR="006622C0" w:rsidRPr="00BC374A" w:rsidRDefault="006622C0" w:rsidP="00236603">
      <w:pPr>
        <w:numPr>
          <w:ilvl w:val="0"/>
          <w:numId w:val="7"/>
        </w:numPr>
        <w:tabs>
          <w:tab w:val="left" w:pos="567"/>
        </w:tabs>
        <w:spacing w:beforeLines="50" w:afterLines="50" w:line="240" w:lineRule="atLeast"/>
        <w:ind w:left="562" w:rightChars="-139" w:right="-334" w:hanging="624"/>
        <w:jc w:val="both"/>
        <w:rPr>
          <w:rFonts w:eastAsia="標楷體"/>
          <w:color w:val="000000"/>
          <w:sz w:val="28"/>
          <w:szCs w:val="28"/>
        </w:rPr>
      </w:pPr>
      <w:r w:rsidRPr="00BC374A">
        <w:rPr>
          <w:rFonts w:eastAsia="標楷體" w:hint="eastAsia"/>
          <w:color w:val="000000"/>
          <w:sz w:val="28"/>
          <w:szCs w:val="28"/>
        </w:rPr>
        <w:t>第</w:t>
      </w:r>
      <w:r w:rsidRPr="00BC374A">
        <w:rPr>
          <w:rFonts w:eastAsia="標楷體"/>
          <w:color w:val="000000"/>
          <w:sz w:val="28"/>
          <w:szCs w:val="28"/>
        </w:rPr>
        <w:t>6</w:t>
      </w:r>
      <w:r w:rsidRPr="00BC374A">
        <w:rPr>
          <w:rFonts w:eastAsia="標楷體" w:hint="eastAsia"/>
          <w:color w:val="000000"/>
          <w:sz w:val="28"/>
          <w:szCs w:val="28"/>
        </w:rPr>
        <w:t>屆教育部性別平等教育委員會第</w:t>
      </w:r>
      <w:r w:rsidRPr="00BC374A">
        <w:rPr>
          <w:rFonts w:eastAsia="標楷體"/>
          <w:color w:val="000000"/>
          <w:sz w:val="28"/>
          <w:szCs w:val="28"/>
        </w:rPr>
        <w:t>2</w:t>
      </w:r>
      <w:r w:rsidRPr="00BC374A">
        <w:rPr>
          <w:rFonts w:eastAsia="標楷體" w:hint="eastAsia"/>
          <w:color w:val="000000"/>
          <w:sz w:val="28"/>
          <w:szCs w:val="28"/>
        </w:rPr>
        <w:t>次委員大會決議：性霸凌防制工作之宣導與推廣建議納入明（</w:t>
      </w:r>
      <w:r w:rsidRPr="00BC374A">
        <w:rPr>
          <w:rFonts w:eastAsia="標楷體"/>
          <w:color w:val="000000"/>
          <w:sz w:val="28"/>
          <w:szCs w:val="28"/>
        </w:rPr>
        <w:t>104</w:t>
      </w:r>
      <w:r w:rsidRPr="00BC374A">
        <w:rPr>
          <w:rFonts w:eastAsia="標楷體" w:hint="eastAsia"/>
          <w:color w:val="000000"/>
          <w:sz w:val="28"/>
          <w:szCs w:val="28"/>
        </w:rPr>
        <w:t>）年本部推動性別平等教育的重點工作，以尊重多元性別差異為主，並請各小組在規劃明年度工作計畫時，將性霸凌防治工作列為優先規劃之議題項目。</w:t>
      </w:r>
    </w:p>
    <w:p w:rsidR="006622C0" w:rsidRPr="00BC374A" w:rsidRDefault="006622C0" w:rsidP="00236603">
      <w:pPr>
        <w:numPr>
          <w:ilvl w:val="0"/>
          <w:numId w:val="7"/>
        </w:numPr>
        <w:tabs>
          <w:tab w:val="left" w:pos="567"/>
        </w:tabs>
        <w:spacing w:beforeLines="50" w:afterLines="50" w:line="240" w:lineRule="atLeast"/>
        <w:ind w:rightChars="-139" w:right="-334"/>
        <w:jc w:val="both"/>
        <w:rPr>
          <w:rFonts w:eastAsia="標楷體"/>
          <w:color w:val="000000"/>
          <w:sz w:val="28"/>
          <w:szCs w:val="28"/>
        </w:rPr>
      </w:pPr>
      <w:r w:rsidRPr="00BC374A">
        <w:rPr>
          <w:rFonts w:eastAsia="標楷體" w:hint="eastAsia"/>
          <w:color w:val="000000"/>
          <w:sz w:val="28"/>
          <w:szCs w:val="28"/>
        </w:rPr>
        <w:t>第</w:t>
      </w:r>
      <w:r w:rsidRPr="00BC374A">
        <w:rPr>
          <w:rFonts w:eastAsia="標楷體"/>
          <w:color w:val="000000"/>
          <w:sz w:val="28"/>
          <w:szCs w:val="28"/>
        </w:rPr>
        <w:t>6</w:t>
      </w:r>
      <w:r w:rsidRPr="00BC374A">
        <w:rPr>
          <w:rFonts w:eastAsia="標楷體" w:hint="eastAsia"/>
          <w:color w:val="000000"/>
          <w:sz w:val="28"/>
          <w:szCs w:val="28"/>
        </w:rPr>
        <w:t>屆教育部性別平等教育委員會第</w:t>
      </w:r>
      <w:r w:rsidRPr="00BC374A">
        <w:rPr>
          <w:rFonts w:eastAsia="標楷體"/>
          <w:color w:val="000000"/>
          <w:sz w:val="28"/>
          <w:szCs w:val="28"/>
        </w:rPr>
        <w:t>3</w:t>
      </w:r>
      <w:r w:rsidRPr="00BC374A">
        <w:rPr>
          <w:rFonts w:eastAsia="標楷體" w:hint="eastAsia"/>
          <w:color w:val="000000"/>
          <w:sz w:val="28"/>
          <w:szCs w:val="28"/>
        </w:rPr>
        <w:t>次委員大會決議：請各小組及相關業務單位於規劃</w:t>
      </w:r>
      <w:r w:rsidRPr="00BC374A">
        <w:rPr>
          <w:rFonts w:eastAsia="標楷體"/>
          <w:color w:val="000000"/>
          <w:sz w:val="28"/>
          <w:szCs w:val="28"/>
        </w:rPr>
        <w:t>104</w:t>
      </w:r>
      <w:r w:rsidRPr="00BC374A">
        <w:rPr>
          <w:rFonts w:eastAsia="標楷體" w:hint="eastAsia"/>
          <w:color w:val="000000"/>
          <w:sz w:val="28"/>
          <w:szCs w:val="28"/>
        </w:rPr>
        <w:t>年度工作計畫時，將</w:t>
      </w:r>
      <w:r w:rsidRPr="00BC374A">
        <w:rPr>
          <w:rFonts w:eastAsia="標楷體"/>
          <w:color w:val="000000"/>
          <w:sz w:val="28"/>
          <w:szCs w:val="28"/>
        </w:rPr>
        <w:t>CEDAW</w:t>
      </w:r>
      <w:r w:rsidRPr="00BC374A">
        <w:rPr>
          <w:rFonts w:eastAsia="標楷體" w:hint="eastAsia"/>
          <w:color w:val="000000"/>
          <w:sz w:val="28"/>
          <w:szCs w:val="28"/>
        </w:rPr>
        <w:t>第</w:t>
      </w:r>
      <w:r w:rsidRPr="00BC374A">
        <w:rPr>
          <w:rFonts w:eastAsia="標楷體"/>
          <w:color w:val="000000"/>
          <w:sz w:val="28"/>
          <w:szCs w:val="28"/>
        </w:rPr>
        <w:t>2</w:t>
      </w:r>
      <w:r w:rsidRPr="00BC374A">
        <w:rPr>
          <w:rFonts w:eastAsia="標楷體" w:hint="eastAsia"/>
          <w:color w:val="000000"/>
          <w:sz w:val="28"/>
          <w:szCs w:val="28"/>
        </w:rPr>
        <w:t>次國家報告審查委員會總結意見與建議事項列入工作計畫。</w:t>
      </w:r>
    </w:p>
    <w:p w:rsidR="006622C0" w:rsidRPr="00BC374A" w:rsidRDefault="006622C0" w:rsidP="00236603">
      <w:pPr>
        <w:tabs>
          <w:tab w:val="left" w:pos="567"/>
        </w:tabs>
        <w:spacing w:beforeLines="50" w:afterLines="50" w:line="240" w:lineRule="atLeast"/>
        <w:ind w:left="-62" w:rightChars="-139" w:right="-334"/>
        <w:jc w:val="both"/>
        <w:rPr>
          <w:rFonts w:ascii="標楷體" w:eastAsia="標楷體" w:hAnsi="標楷體"/>
          <w:b/>
          <w:color w:val="000000"/>
          <w:sz w:val="28"/>
          <w:szCs w:val="28"/>
        </w:rPr>
      </w:pPr>
      <w:r w:rsidRPr="00BC374A">
        <w:rPr>
          <w:rFonts w:eastAsia="標楷體" w:hint="eastAsia"/>
          <w:b/>
          <w:color w:val="000000"/>
          <w:sz w:val="28"/>
          <w:szCs w:val="28"/>
        </w:rPr>
        <w:t>消除對婦女一切形式歧視公約（</w:t>
      </w:r>
      <w:r w:rsidRPr="00BC374A">
        <w:rPr>
          <w:rFonts w:eastAsia="標楷體"/>
          <w:b/>
          <w:color w:val="000000"/>
          <w:sz w:val="28"/>
          <w:szCs w:val="28"/>
        </w:rPr>
        <w:t>CEDAW</w:t>
      </w:r>
      <w:r w:rsidRPr="00BC374A">
        <w:rPr>
          <w:rFonts w:eastAsia="標楷體" w:hint="eastAsia"/>
          <w:b/>
          <w:color w:val="000000"/>
          <w:sz w:val="28"/>
          <w:szCs w:val="28"/>
        </w:rPr>
        <w:t>）中華民國（臺灣）第</w:t>
      </w:r>
      <w:r w:rsidRPr="00BC374A">
        <w:rPr>
          <w:rFonts w:eastAsia="標楷體"/>
          <w:b/>
          <w:color w:val="000000"/>
          <w:sz w:val="28"/>
          <w:szCs w:val="28"/>
        </w:rPr>
        <w:t>2</w:t>
      </w:r>
      <w:r w:rsidRPr="00BC374A">
        <w:rPr>
          <w:rFonts w:eastAsia="標楷體" w:hint="eastAsia"/>
          <w:b/>
          <w:color w:val="000000"/>
          <w:sz w:val="28"/>
          <w:szCs w:val="28"/>
        </w:rPr>
        <w:t>次國家報告審查委員總結意見與建</w:t>
      </w:r>
      <w:r w:rsidRPr="00BC374A">
        <w:rPr>
          <w:rFonts w:ascii="標楷體" w:eastAsia="標楷體" w:hAnsi="標楷體" w:hint="eastAsia"/>
          <w:b/>
          <w:color w:val="000000"/>
          <w:sz w:val="28"/>
          <w:szCs w:val="28"/>
        </w:rPr>
        <w:t>議－教育部分工表</w:t>
      </w:r>
    </w:p>
    <w:tbl>
      <w:tblPr>
        <w:tblW w:w="88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8"/>
        <w:gridCol w:w="2694"/>
        <w:gridCol w:w="708"/>
        <w:gridCol w:w="1276"/>
        <w:gridCol w:w="1701"/>
      </w:tblGrid>
      <w:tr w:rsidR="006622C0" w:rsidRPr="00CF4006" w:rsidTr="005C1795">
        <w:tc>
          <w:tcPr>
            <w:tcW w:w="2438" w:type="dxa"/>
          </w:tcPr>
          <w:p w:rsidR="006622C0" w:rsidRPr="00CF4006" w:rsidRDefault="006622C0" w:rsidP="005C1795">
            <w:pPr>
              <w:tabs>
                <w:tab w:val="left" w:pos="0"/>
              </w:tabs>
              <w:spacing w:line="240" w:lineRule="atLeast"/>
              <w:jc w:val="center"/>
              <w:rPr>
                <w:rFonts w:eastAsia="標楷體"/>
                <w:color w:val="000000"/>
              </w:rPr>
            </w:pPr>
            <w:r w:rsidRPr="00CF4006">
              <w:rPr>
                <w:rFonts w:eastAsia="標楷體" w:hint="eastAsia"/>
                <w:color w:val="000000"/>
              </w:rPr>
              <w:t>審查陳述</w:t>
            </w:r>
          </w:p>
        </w:tc>
        <w:tc>
          <w:tcPr>
            <w:tcW w:w="2694" w:type="dxa"/>
          </w:tcPr>
          <w:p w:rsidR="006622C0" w:rsidRPr="00CF4006" w:rsidRDefault="006622C0" w:rsidP="005C1795">
            <w:pPr>
              <w:tabs>
                <w:tab w:val="left" w:pos="0"/>
              </w:tabs>
              <w:spacing w:line="240" w:lineRule="atLeast"/>
              <w:jc w:val="center"/>
              <w:rPr>
                <w:rFonts w:eastAsia="標楷體"/>
                <w:color w:val="000000"/>
              </w:rPr>
            </w:pPr>
            <w:r w:rsidRPr="00CF4006">
              <w:rPr>
                <w:rFonts w:eastAsia="標楷體" w:hint="eastAsia"/>
                <w:color w:val="000000"/>
              </w:rPr>
              <w:t>建議內容</w:t>
            </w:r>
          </w:p>
        </w:tc>
        <w:tc>
          <w:tcPr>
            <w:tcW w:w="708" w:type="dxa"/>
          </w:tcPr>
          <w:p w:rsidR="006622C0" w:rsidRPr="00CF4006" w:rsidRDefault="006622C0" w:rsidP="005C1795">
            <w:pPr>
              <w:tabs>
                <w:tab w:val="left" w:pos="0"/>
              </w:tabs>
              <w:spacing w:line="240" w:lineRule="atLeast"/>
              <w:jc w:val="center"/>
              <w:rPr>
                <w:rFonts w:eastAsia="標楷體"/>
                <w:color w:val="000000"/>
              </w:rPr>
            </w:pPr>
            <w:r w:rsidRPr="00CF4006">
              <w:rPr>
                <w:rFonts w:eastAsia="標楷體" w:hint="eastAsia"/>
                <w:color w:val="000000"/>
              </w:rPr>
              <w:t>條文</w:t>
            </w:r>
          </w:p>
        </w:tc>
        <w:tc>
          <w:tcPr>
            <w:tcW w:w="1276" w:type="dxa"/>
          </w:tcPr>
          <w:p w:rsidR="006622C0" w:rsidRPr="00CF4006" w:rsidRDefault="006622C0" w:rsidP="005C1795">
            <w:pPr>
              <w:tabs>
                <w:tab w:val="left" w:pos="0"/>
              </w:tabs>
              <w:spacing w:line="240" w:lineRule="atLeast"/>
              <w:jc w:val="center"/>
              <w:rPr>
                <w:rFonts w:eastAsia="標楷體"/>
                <w:color w:val="000000"/>
              </w:rPr>
            </w:pPr>
            <w:r w:rsidRPr="00CF4006">
              <w:rPr>
                <w:rFonts w:eastAsia="標楷體" w:hint="eastAsia"/>
                <w:color w:val="000000"/>
              </w:rPr>
              <w:t>工組別</w:t>
            </w:r>
          </w:p>
        </w:tc>
        <w:tc>
          <w:tcPr>
            <w:tcW w:w="1701" w:type="dxa"/>
          </w:tcPr>
          <w:p w:rsidR="006622C0" w:rsidRPr="00CF4006" w:rsidRDefault="006622C0" w:rsidP="005C1795">
            <w:pPr>
              <w:tabs>
                <w:tab w:val="left" w:pos="0"/>
              </w:tabs>
              <w:spacing w:line="240" w:lineRule="atLeast"/>
              <w:ind w:left="252" w:hangingChars="105" w:hanging="252"/>
              <w:jc w:val="center"/>
              <w:rPr>
                <w:rFonts w:eastAsia="標楷體"/>
                <w:color w:val="000000"/>
              </w:rPr>
            </w:pPr>
            <w:r w:rsidRPr="00CF4006">
              <w:rPr>
                <w:rFonts w:eastAsia="標楷體" w:hint="eastAsia"/>
                <w:color w:val="000000"/>
              </w:rPr>
              <w:t>權責單位</w:t>
            </w:r>
          </w:p>
        </w:tc>
      </w:tr>
      <w:tr w:rsidR="006622C0" w:rsidRPr="00CF4006" w:rsidTr="005C1795">
        <w:tc>
          <w:tcPr>
            <w:tcW w:w="2438" w:type="dxa"/>
          </w:tcPr>
          <w:p w:rsidR="006622C0" w:rsidRPr="00CF4006" w:rsidRDefault="006622C0" w:rsidP="005C1795">
            <w:pPr>
              <w:tabs>
                <w:tab w:val="left" w:pos="0"/>
              </w:tabs>
              <w:spacing w:line="240" w:lineRule="atLeast"/>
              <w:rPr>
                <w:rFonts w:eastAsia="標楷體"/>
                <w:b/>
                <w:i/>
                <w:color w:val="000000"/>
              </w:rPr>
            </w:pPr>
            <w:r w:rsidRPr="00CF4006">
              <w:rPr>
                <w:rFonts w:eastAsia="標楷體" w:hint="eastAsia"/>
                <w:b/>
                <w:i/>
                <w:color w:val="000000"/>
              </w:rPr>
              <w:t>性別角色和刻板印象</w:t>
            </w:r>
          </w:p>
          <w:p w:rsidR="006622C0" w:rsidRPr="00CF4006" w:rsidRDefault="006622C0" w:rsidP="005C1795">
            <w:pPr>
              <w:tabs>
                <w:tab w:val="left" w:pos="0"/>
              </w:tabs>
              <w:spacing w:line="240" w:lineRule="atLeast"/>
              <w:rPr>
                <w:rFonts w:eastAsia="標楷體"/>
                <w:color w:val="000000"/>
              </w:rPr>
            </w:pPr>
            <w:r w:rsidRPr="00CF4006">
              <w:rPr>
                <w:rFonts w:eastAsia="標楷體"/>
                <w:color w:val="000000"/>
              </w:rPr>
              <w:t>13.</w:t>
            </w:r>
            <w:r w:rsidRPr="00CF4006">
              <w:rPr>
                <w:rFonts w:eastAsia="標楷體" w:hint="eastAsia"/>
                <w:color w:val="000000"/>
              </w:rPr>
              <w:t>審查委員關切家庭及社會中根深蒂固的傳統性別刻板化印象，這樣的性別刻板化印象持續將婦女及女孩描繪為劣於男性，並且是男性性欲的客體。</w:t>
            </w:r>
          </w:p>
        </w:tc>
        <w:tc>
          <w:tcPr>
            <w:tcW w:w="2694" w:type="dxa"/>
          </w:tcPr>
          <w:p w:rsidR="006622C0" w:rsidRPr="00CF4006" w:rsidRDefault="006622C0" w:rsidP="005C1795">
            <w:pPr>
              <w:tabs>
                <w:tab w:val="left" w:pos="0"/>
              </w:tabs>
              <w:spacing w:line="240" w:lineRule="atLeast"/>
              <w:rPr>
                <w:rFonts w:eastAsia="標楷體"/>
                <w:b/>
                <w:color w:val="000000"/>
              </w:rPr>
            </w:pPr>
            <w:r w:rsidRPr="00CF4006">
              <w:rPr>
                <w:rFonts w:eastAsia="標楷體" w:hint="eastAsia"/>
                <w:b/>
                <w:color w:val="000000"/>
              </w:rPr>
              <w:t>審查委員建議政府運用多媒體方式設計全面性的性別意識提升方案和教育活動，解決在家庭和社會中的性別刻板印象。委員會還建議突顯女性成就、男性等分擔家庭責任，以及更加努力推動男性和男孩參與重新定義男子氣概。</w:t>
            </w:r>
          </w:p>
        </w:tc>
        <w:tc>
          <w:tcPr>
            <w:tcW w:w="708" w:type="dxa"/>
          </w:tcPr>
          <w:p w:rsidR="006622C0" w:rsidRPr="00CF4006" w:rsidRDefault="006622C0" w:rsidP="005C1795">
            <w:pPr>
              <w:tabs>
                <w:tab w:val="left" w:pos="0"/>
              </w:tabs>
              <w:spacing w:line="240" w:lineRule="atLeast"/>
              <w:jc w:val="center"/>
              <w:rPr>
                <w:rFonts w:eastAsia="標楷體"/>
                <w:color w:val="000000"/>
              </w:rPr>
            </w:pPr>
            <w:r w:rsidRPr="00CF4006">
              <w:rPr>
                <w:rFonts w:eastAsia="標楷體"/>
                <w:color w:val="000000"/>
              </w:rPr>
              <w:t>5</w:t>
            </w:r>
          </w:p>
        </w:tc>
        <w:tc>
          <w:tcPr>
            <w:tcW w:w="1276" w:type="dxa"/>
          </w:tcPr>
          <w:p w:rsidR="006622C0" w:rsidRPr="00CF4006" w:rsidRDefault="006622C0" w:rsidP="005C1795">
            <w:pPr>
              <w:tabs>
                <w:tab w:val="left" w:pos="0"/>
              </w:tabs>
              <w:spacing w:line="240" w:lineRule="atLeast"/>
              <w:rPr>
                <w:rFonts w:eastAsia="標楷體"/>
                <w:color w:val="000000"/>
              </w:rPr>
            </w:pPr>
            <w:r w:rsidRPr="00CF4006">
              <w:rPr>
                <w:rFonts w:eastAsia="標楷體" w:hint="eastAsia"/>
                <w:color w:val="000000"/>
              </w:rPr>
              <w:t>社推組</w:t>
            </w:r>
            <w:r w:rsidRPr="00CF4006">
              <w:rPr>
                <w:rFonts w:eastAsia="標楷體"/>
                <w:color w:val="000000"/>
              </w:rPr>
              <w:t>/</w:t>
            </w:r>
          </w:p>
          <w:p w:rsidR="006622C0" w:rsidRPr="00CF4006" w:rsidRDefault="006622C0" w:rsidP="005C1795">
            <w:pPr>
              <w:tabs>
                <w:tab w:val="left" w:pos="0"/>
              </w:tabs>
              <w:spacing w:line="240" w:lineRule="atLeast"/>
              <w:rPr>
                <w:rFonts w:eastAsia="標楷體"/>
                <w:color w:val="000000"/>
              </w:rPr>
            </w:pPr>
            <w:r w:rsidRPr="00CF4006">
              <w:rPr>
                <w:rFonts w:eastAsia="標楷體" w:hint="eastAsia"/>
                <w:color w:val="000000"/>
              </w:rPr>
              <w:t>課程組</w:t>
            </w:r>
          </w:p>
        </w:tc>
        <w:tc>
          <w:tcPr>
            <w:tcW w:w="1701" w:type="dxa"/>
          </w:tcPr>
          <w:p w:rsidR="006622C0" w:rsidRPr="00CF4006" w:rsidRDefault="006622C0" w:rsidP="005C1795">
            <w:pPr>
              <w:tabs>
                <w:tab w:val="left" w:pos="0"/>
              </w:tabs>
              <w:spacing w:line="240" w:lineRule="atLeast"/>
              <w:rPr>
                <w:rFonts w:eastAsia="標楷體"/>
                <w:color w:val="000000"/>
              </w:rPr>
            </w:pPr>
            <w:r w:rsidRPr="00CF4006">
              <w:rPr>
                <w:rFonts w:eastAsia="標楷體" w:hint="eastAsia"/>
                <w:color w:val="000000"/>
              </w:rPr>
              <w:t>終身教育司</w:t>
            </w:r>
          </w:p>
          <w:p w:rsidR="006622C0" w:rsidRPr="00CF4006" w:rsidRDefault="006622C0" w:rsidP="005C1795">
            <w:pPr>
              <w:tabs>
                <w:tab w:val="left" w:pos="0"/>
              </w:tabs>
              <w:spacing w:line="240" w:lineRule="atLeast"/>
              <w:rPr>
                <w:rFonts w:eastAsia="標楷體"/>
                <w:color w:val="000000"/>
              </w:rPr>
            </w:pPr>
            <w:r w:rsidRPr="00CF4006">
              <w:rPr>
                <w:rFonts w:eastAsia="標楷體" w:hint="eastAsia"/>
                <w:color w:val="000000"/>
              </w:rPr>
              <w:t>國教署</w:t>
            </w:r>
          </w:p>
          <w:p w:rsidR="006622C0" w:rsidRPr="00CF4006" w:rsidRDefault="006622C0" w:rsidP="005C1795">
            <w:pPr>
              <w:tabs>
                <w:tab w:val="left" w:pos="0"/>
              </w:tabs>
              <w:spacing w:line="240" w:lineRule="atLeast"/>
              <w:rPr>
                <w:rFonts w:eastAsia="標楷體"/>
                <w:color w:val="000000"/>
              </w:rPr>
            </w:pPr>
            <w:r w:rsidRPr="00CF4006">
              <w:rPr>
                <w:rFonts w:eastAsia="標楷體" w:hint="eastAsia"/>
                <w:color w:val="000000"/>
              </w:rPr>
              <w:t>學務特教司</w:t>
            </w:r>
          </w:p>
          <w:p w:rsidR="006622C0" w:rsidRPr="00CF4006" w:rsidRDefault="006622C0" w:rsidP="005C1795">
            <w:pPr>
              <w:tabs>
                <w:tab w:val="left" w:pos="0"/>
              </w:tabs>
              <w:spacing w:line="240" w:lineRule="atLeast"/>
              <w:rPr>
                <w:rFonts w:eastAsia="標楷體"/>
                <w:color w:val="000000"/>
              </w:rPr>
            </w:pPr>
            <w:r w:rsidRPr="00CF4006">
              <w:rPr>
                <w:rFonts w:eastAsia="標楷體" w:hint="eastAsia"/>
                <w:color w:val="000000"/>
              </w:rPr>
              <w:t>（其他涉及機關</w:t>
            </w:r>
            <w:r w:rsidRPr="00CF4006">
              <w:rPr>
                <w:rFonts w:ascii="標楷體" w:eastAsia="標楷體" w:hAnsi="標楷體" w:hint="eastAsia"/>
                <w:color w:val="000000"/>
              </w:rPr>
              <w:t>：</w:t>
            </w:r>
            <w:r w:rsidRPr="00CF4006">
              <w:rPr>
                <w:rFonts w:eastAsia="標楷體" w:hint="eastAsia"/>
                <w:color w:val="000000"/>
              </w:rPr>
              <w:t>通傳會、文化部、內政部、衛福部）</w:t>
            </w:r>
          </w:p>
        </w:tc>
      </w:tr>
      <w:tr w:rsidR="006622C0" w:rsidRPr="00CF4006" w:rsidTr="005C1795">
        <w:tc>
          <w:tcPr>
            <w:tcW w:w="2438" w:type="dxa"/>
          </w:tcPr>
          <w:p w:rsidR="006622C0" w:rsidRPr="00CF4006" w:rsidRDefault="006622C0" w:rsidP="005C1795">
            <w:pPr>
              <w:tabs>
                <w:tab w:val="left" w:pos="0"/>
              </w:tabs>
              <w:spacing w:line="240" w:lineRule="atLeast"/>
              <w:rPr>
                <w:rFonts w:eastAsia="標楷體"/>
                <w:color w:val="000000"/>
              </w:rPr>
            </w:pPr>
            <w:r w:rsidRPr="00CF4006">
              <w:rPr>
                <w:rFonts w:eastAsia="標楷體"/>
                <w:color w:val="000000"/>
              </w:rPr>
              <w:t>24.</w:t>
            </w:r>
            <w:r w:rsidRPr="00CF4006">
              <w:rPr>
                <w:rFonts w:eastAsia="標楷體" w:hint="eastAsia"/>
                <w:color w:val="000000"/>
              </w:rPr>
              <w:t>雖然已有鼓勵女孩於懷孕期間或懷孕後回到學校的相關措施，但對於她們因母親及學生的雙重角色而面臨的經濟、社會及心理問題及其所遭遇到污名化，目前所提供的服務有限。</w:t>
            </w:r>
          </w:p>
        </w:tc>
        <w:tc>
          <w:tcPr>
            <w:tcW w:w="2694" w:type="dxa"/>
          </w:tcPr>
          <w:p w:rsidR="006622C0" w:rsidRPr="00CF4006" w:rsidRDefault="006622C0" w:rsidP="005C1795">
            <w:pPr>
              <w:tabs>
                <w:tab w:val="left" w:pos="0"/>
              </w:tabs>
              <w:spacing w:line="240" w:lineRule="atLeast"/>
              <w:rPr>
                <w:rFonts w:eastAsia="標楷體"/>
                <w:b/>
                <w:color w:val="000000"/>
              </w:rPr>
            </w:pPr>
            <w:r w:rsidRPr="00CF4006">
              <w:rPr>
                <w:rFonts w:eastAsia="標楷體" w:hint="eastAsia"/>
                <w:b/>
                <w:color w:val="000000"/>
              </w:rPr>
              <w:t>審查委員會</w:t>
            </w:r>
            <w:r w:rsidRPr="00CF4006">
              <w:rPr>
                <w:rFonts w:eastAsia="標楷體" w:hint="eastAsia"/>
                <w:b/>
                <w:color w:val="000000"/>
                <w:u w:val="single"/>
              </w:rPr>
              <w:t>敦促政府提供女孩於懷孕期間或懷孕後，返回校園之必要支持服務，包括</w:t>
            </w:r>
            <w:r w:rsidRPr="00CF4006">
              <w:rPr>
                <w:rFonts w:eastAsia="標楷體" w:hint="eastAsia"/>
                <w:b/>
                <w:color w:val="000000"/>
              </w:rPr>
              <w:t>具便利及可負擔的托育服務、心理諮商、建立自信、</w:t>
            </w:r>
            <w:r w:rsidRPr="00CF4006">
              <w:rPr>
                <w:rFonts w:eastAsia="標楷體" w:hint="eastAsia"/>
                <w:b/>
                <w:color w:val="000000"/>
                <w:u w:val="single"/>
              </w:rPr>
              <w:t>親職課程</w:t>
            </w:r>
            <w:r w:rsidRPr="00CF4006">
              <w:rPr>
                <w:rFonts w:eastAsia="標楷體" w:hint="eastAsia"/>
                <w:b/>
                <w:color w:val="000000"/>
              </w:rPr>
              <w:t>、</w:t>
            </w:r>
            <w:r w:rsidRPr="00CF4006">
              <w:rPr>
                <w:rFonts w:eastAsia="標楷體"/>
                <w:b/>
                <w:color w:val="000000"/>
              </w:rPr>
              <w:t>10</w:t>
            </w:r>
            <w:r w:rsidRPr="00CF4006">
              <w:rPr>
                <w:rFonts w:eastAsia="標楷體" w:hint="eastAsia"/>
                <w:b/>
                <w:color w:val="000000"/>
              </w:rPr>
              <w:t>經濟協助、在家學習機會或彈性的課表，以及同儕和支持團體，應該公開宣導這些可用的支持服務之機會及渠道。</w:t>
            </w:r>
          </w:p>
        </w:tc>
        <w:tc>
          <w:tcPr>
            <w:tcW w:w="708" w:type="dxa"/>
          </w:tcPr>
          <w:p w:rsidR="006622C0" w:rsidRPr="00CF4006" w:rsidRDefault="006622C0" w:rsidP="005C1795">
            <w:pPr>
              <w:tabs>
                <w:tab w:val="left" w:pos="0"/>
              </w:tabs>
              <w:spacing w:line="240" w:lineRule="atLeast"/>
              <w:jc w:val="center"/>
              <w:rPr>
                <w:rFonts w:eastAsia="標楷體"/>
                <w:color w:val="000000"/>
              </w:rPr>
            </w:pPr>
          </w:p>
        </w:tc>
        <w:tc>
          <w:tcPr>
            <w:tcW w:w="1276" w:type="dxa"/>
          </w:tcPr>
          <w:p w:rsidR="006622C0" w:rsidRPr="00CF4006" w:rsidRDefault="006622C0" w:rsidP="005C1795">
            <w:pPr>
              <w:tabs>
                <w:tab w:val="left" w:pos="0"/>
              </w:tabs>
              <w:spacing w:line="240" w:lineRule="atLeast"/>
              <w:rPr>
                <w:rFonts w:eastAsia="標楷體"/>
                <w:color w:val="000000"/>
              </w:rPr>
            </w:pPr>
            <w:r w:rsidRPr="00CF4006">
              <w:rPr>
                <w:rFonts w:eastAsia="標楷體" w:hint="eastAsia"/>
                <w:color w:val="000000"/>
              </w:rPr>
              <w:t>政策組</w:t>
            </w:r>
            <w:r w:rsidRPr="00CF4006">
              <w:rPr>
                <w:rFonts w:eastAsia="標楷體"/>
                <w:color w:val="000000"/>
              </w:rPr>
              <w:t>/</w:t>
            </w:r>
          </w:p>
          <w:p w:rsidR="006622C0" w:rsidRPr="00CF4006" w:rsidRDefault="006622C0" w:rsidP="005C1795">
            <w:pPr>
              <w:tabs>
                <w:tab w:val="left" w:pos="0"/>
              </w:tabs>
              <w:spacing w:line="240" w:lineRule="atLeast"/>
              <w:rPr>
                <w:rFonts w:eastAsia="標楷體"/>
                <w:color w:val="000000"/>
              </w:rPr>
            </w:pPr>
            <w:r w:rsidRPr="00CF4006">
              <w:rPr>
                <w:rFonts w:eastAsia="標楷體" w:hint="eastAsia"/>
                <w:color w:val="000000"/>
              </w:rPr>
              <w:t>課程組</w:t>
            </w:r>
          </w:p>
        </w:tc>
        <w:tc>
          <w:tcPr>
            <w:tcW w:w="1701" w:type="dxa"/>
          </w:tcPr>
          <w:p w:rsidR="006622C0" w:rsidRPr="00CF4006" w:rsidRDefault="006622C0" w:rsidP="005C1795">
            <w:pPr>
              <w:tabs>
                <w:tab w:val="left" w:pos="0"/>
              </w:tabs>
              <w:spacing w:line="240" w:lineRule="atLeast"/>
              <w:rPr>
                <w:rFonts w:eastAsia="標楷體"/>
                <w:color w:val="000000"/>
              </w:rPr>
            </w:pPr>
            <w:r w:rsidRPr="00CF4006">
              <w:rPr>
                <w:rFonts w:eastAsia="標楷體" w:hint="eastAsia"/>
                <w:color w:val="000000"/>
              </w:rPr>
              <w:t>國教署</w:t>
            </w:r>
          </w:p>
          <w:p w:rsidR="006622C0" w:rsidRPr="00CF4006" w:rsidRDefault="006622C0" w:rsidP="005C1795">
            <w:pPr>
              <w:tabs>
                <w:tab w:val="left" w:pos="0"/>
              </w:tabs>
              <w:spacing w:line="240" w:lineRule="atLeast"/>
              <w:rPr>
                <w:rFonts w:eastAsia="標楷體"/>
                <w:color w:val="000000"/>
              </w:rPr>
            </w:pPr>
            <w:r w:rsidRPr="00CF4006">
              <w:rPr>
                <w:rFonts w:eastAsia="標楷體" w:hint="eastAsia"/>
                <w:color w:val="000000"/>
              </w:rPr>
              <w:t>學務特教司</w:t>
            </w:r>
          </w:p>
          <w:p w:rsidR="006622C0" w:rsidRPr="00CF4006" w:rsidRDefault="006622C0" w:rsidP="005C1795">
            <w:pPr>
              <w:tabs>
                <w:tab w:val="left" w:pos="0"/>
              </w:tabs>
              <w:spacing w:line="240" w:lineRule="atLeast"/>
              <w:rPr>
                <w:rFonts w:eastAsia="標楷體"/>
                <w:color w:val="000000"/>
              </w:rPr>
            </w:pPr>
            <w:r w:rsidRPr="00CF4006">
              <w:rPr>
                <w:rFonts w:eastAsia="標楷體" w:hint="eastAsia"/>
                <w:color w:val="000000"/>
              </w:rPr>
              <w:t>終身教育司</w:t>
            </w:r>
          </w:p>
          <w:p w:rsidR="006622C0" w:rsidRPr="00CF4006" w:rsidRDefault="006622C0" w:rsidP="005C1795">
            <w:pPr>
              <w:tabs>
                <w:tab w:val="left" w:pos="0"/>
              </w:tabs>
              <w:spacing w:line="240" w:lineRule="atLeast"/>
              <w:rPr>
                <w:rFonts w:eastAsia="標楷體"/>
                <w:color w:val="000000"/>
              </w:rPr>
            </w:pPr>
            <w:r w:rsidRPr="00CF4006">
              <w:rPr>
                <w:rFonts w:eastAsia="標楷體" w:hint="eastAsia"/>
                <w:color w:val="000000"/>
              </w:rPr>
              <w:t>（其他涉及機關：衛福部、內政部、國防部）</w:t>
            </w:r>
          </w:p>
        </w:tc>
      </w:tr>
    </w:tbl>
    <w:p w:rsidR="006622C0" w:rsidRPr="00BC374A" w:rsidRDefault="006622C0" w:rsidP="00236603">
      <w:pPr>
        <w:numPr>
          <w:ilvl w:val="0"/>
          <w:numId w:val="7"/>
        </w:numPr>
        <w:tabs>
          <w:tab w:val="left" w:pos="567"/>
        </w:tabs>
        <w:spacing w:beforeLines="50" w:afterLines="50" w:line="240" w:lineRule="atLeast"/>
        <w:ind w:left="959" w:rightChars="-139" w:right="-334" w:hanging="1021"/>
        <w:jc w:val="both"/>
        <w:rPr>
          <w:rFonts w:eastAsia="標楷體"/>
          <w:b/>
          <w:color w:val="000000"/>
          <w:sz w:val="28"/>
          <w:szCs w:val="28"/>
        </w:rPr>
      </w:pPr>
      <w:r w:rsidRPr="00BC374A">
        <w:rPr>
          <w:rFonts w:eastAsia="標楷體"/>
          <w:b/>
          <w:color w:val="000000"/>
          <w:sz w:val="28"/>
          <w:szCs w:val="28"/>
        </w:rPr>
        <w:t>103</w:t>
      </w:r>
      <w:r w:rsidRPr="00BC374A">
        <w:rPr>
          <w:rFonts w:eastAsia="標楷體" w:hint="eastAsia"/>
          <w:b/>
          <w:color w:val="000000"/>
          <w:sz w:val="28"/>
          <w:szCs w:val="28"/>
        </w:rPr>
        <w:t>年度重要社會發展計畫先期作業「愛滋防治第五期五年計畫」</w:t>
      </w:r>
    </w:p>
    <w:p w:rsidR="006622C0" w:rsidRPr="00BC374A" w:rsidRDefault="006622C0" w:rsidP="002D0B56">
      <w:pPr>
        <w:numPr>
          <w:ilvl w:val="0"/>
          <w:numId w:val="6"/>
        </w:numPr>
        <w:tabs>
          <w:tab w:val="left" w:pos="851"/>
        </w:tabs>
        <w:spacing w:line="240" w:lineRule="atLeast"/>
        <w:ind w:left="851" w:hanging="709"/>
        <w:jc w:val="both"/>
        <w:rPr>
          <w:rFonts w:eastAsia="標楷體"/>
          <w:b/>
          <w:color w:val="000000"/>
          <w:sz w:val="36"/>
          <w:szCs w:val="36"/>
        </w:rPr>
      </w:pPr>
      <w:r w:rsidRPr="00BC374A">
        <w:rPr>
          <w:rFonts w:eastAsia="標楷體" w:hint="eastAsia"/>
          <w:color w:val="000000"/>
          <w:sz w:val="28"/>
          <w:szCs w:val="28"/>
        </w:rPr>
        <w:t>各級學校應利用家長會、親職教育、家庭訪問或其他有家長參加之活動，伺機實施藥物濫用及愛滋病防治宣導，並呼籲家長共同參與反毒教育及愛滋病防治工作，以增加輔導成效。</w:t>
      </w:r>
    </w:p>
    <w:p w:rsidR="006622C0" w:rsidRPr="00BC374A" w:rsidRDefault="006622C0" w:rsidP="002D0B56">
      <w:pPr>
        <w:numPr>
          <w:ilvl w:val="0"/>
          <w:numId w:val="6"/>
        </w:numPr>
        <w:tabs>
          <w:tab w:val="left" w:pos="851"/>
        </w:tabs>
        <w:spacing w:line="240" w:lineRule="atLeast"/>
        <w:ind w:left="851" w:hanging="709"/>
        <w:jc w:val="both"/>
        <w:rPr>
          <w:rFonts w:eastAsia="標楷體"/>
          <w:color w:val="000000"/>
          <w:sz w:val="28"/>
          <w:szCs w:val="28"/>
        </w:rPr>
      </w:pPr>
      <w:r w:rsidRPr="00BC374A">
        <w:rPr>
          <w:rFonts w:eastAsia="標楷體" w:hint="eastAsia"/>
          <w:color w:val="000000"/>
          <w:sz w:val="28"/>
          <w:szCs w:val="28"/>
        </w:rPr>
        <w:t>鼓勵並補助各級學校及民間團體辦理社區性藥物濫用與愛滋病防治宣教活動，並置重點於學生家長之參與，結合家長、社區力量，共同防制毒品與愛滋病。</w:t>
      </w:r>
    </w:p>
    <w:p w:rsidR="006622C0" w:rsidRPr="00BC374A" w:rsidRDefault="006622C0" w:rsidP="00236603">
      <w:pPr>
        <w:numPr>
          <w:ilvl w:val="0"/>
          <w:numId w:val="6"/>
        </w:numPr>
        <w:tabs>
          <w:tab w:val="left" w:pos="851"/>
        </w:tabs>
        <w:spacing w:afterLines="50" w:line="240" w:lineRule="atLeast"/>
        <w:ind w:left="851" w:hanging="709"/>
        <w:jc w:val="both"/>
        <w:rPr>
          <w:rFonts w:eastAsia="標楷體"/>
          <w:color w:val="000000"/>
          <w:sz w:val="28"/>
          <w:szCs w:val="28"/>
        </w:rPr>
      </w:pPr>
      <w:r w:rsidRPr="00BC374A">
        <w:rPr>
          <w:rFonts w:eastAsia="標楷體" w:hint="eastAsia"/>
          <w:color w:val="000000"/>
          <w:sz w:val="28"/>
          <w:szCs w:val="28"/>
        </w:rPr>
        <w:t>加強相關教育人員之性教育及性別平等教育，讓學生可以適性發展與健康成長，並推動性別平等之家庭與社會教育。</w:t>
      </w:r>
    </w:p>
    <w:p w:rsidR="006622C0" w:rsidRPr="00BC374A" w:rsidRDefault="006622C0" w:rsidP="00236603">
      <w:pPr>
        <w:numPr>
          <w:ilvl w:val="0"/>
          <w:numId w:val="7"/>
        </w:numPr>
        <w:tabs>
          <w:tab w:val="left" w:pos="851"/>
        </w:tabs>
        <w:spacing w:beforeLines="50" w:afterLines="50" w:line="240" w:lineRule="atLeast"/>
        <w:ind w:left="851" w:rightChars="-139" w:right="-334" w:hanging="851"/>
        <w:jc w:val="both"/>
        <w:rPr>
          <w:rFonts w:eastAsia="標楷體"/>
          <w:b/>
          <w:color w:val="000000"/>
          <w:sz w:val="28"/>
          <w:szCs w:val="28"/>
        </w:rPr>
      </w:pPr>
      <w:r w:rsidRPr="00BC374A">
        <w:rPr>
          <w:rFonts w:eastAsia="標楷體" w:hint="eastAsia"/>
          <w:b/>
          <w:color w:val="000000"/>
          <w:sz w:val="28"/>
          <w:szCs w:val="28"/>
        </w:rPr>
        <w:t>教育部學校衛生委員會</w:t>
      </w:r>
    </w:p>
    <w:p w:rsidR="006622C0" w:rsidRPr="00BC374A" w:rsidRDefault="006622C0" w:rsidP="00236603">
      <w:pPr>
        <w:tabs>
          <w:tab w:val="left" w:pos="851"/>
        </w:tabs>
        <w:spacing w:beforeLines="50" w:afterLines="50" w:line="240" w:lineRule="atLeast"/>
        <w:ind w:leftChars="353" w:left="850" w:rightChars="-139" w:right="-334" w:hangingChars="1" w:hanging="3"/>
        <w:jc w:val="both"/>
        <w:rPr>
          <w:rFonts w:eastAsia="標楷體"/>
          <w:color w:val="000000"/>
          <w:sz w:val="28"/>
          <w:szCs w:val="28"/>
        </w:rPr>
      </w:pPr>
      <w:r w:rsidRPr="00BC374A">
        <w:rPr>
          <w:rFonts w:eastAsia="標楷體"/>
          <w:color w:val="000000"/>
          <w:sz w:val="28"/>
          <w:szCs w:val="28"/>
        </w:rPr>
        <w:t>103</w:t>
      </w:r>
      <w:r w:rsidRPr="00BC374A">
        <w:rPr>
          <w:rFonts w:eastAsia="標楷體" w:hint="eastAsia"/>
          <w:color w:val="000000"/>
          <w:sz w:val="28"/>
          <w:szCs w:val="28"/>
        </w:rPr>
        <w:t>年第</w:t>
      </w:r>
      <w:r w:rsidRPr="00BC374A">
        <w:rPr>
          <w:rFonts w:eastAsia="標楷體"/>
          <w:color w:val="000000"/>
          <w:sz w:val="28"/>
          <w:szCs w:val="28"/>
        </w:rPr>
        <w:t>1</w:t>
      </w:r>
      <w:r w:rsidRPr="00BC374A">
        <w:rPr>
          <w:rFonts w:eastAsia="標楷體" w:hint="eastAsia"/>
          <w:color w:val="000000"/>
          <w:sz w:val="28"/>
          <w:szCs w:val="28"/>
        </w:rPr>
        <w:t>次委員會議決定：請終身教育司結合各縣市家庭教育中心及全國家長團體聯盟共同辦理愛滋病防治衛教宣導活動。</w:t>
      </w:r>
    </w:p>
    <w:p w:rsidR="006622C0" w:rsidRPr="00BC374A" w:rsidRDefault="006622C0" w:rsidP="00236603">
      <w:pPr>
        <w:numPr>
          <w:ilvl w:val="0"/>
          <w:numId w:val="7"/>
        </w:numPr>
        <w:tabs>
          <w:tab w:val="left" w:pos="851"/>
        </w:tabs>
        <w:spacing w:beforeLines="50" w:afterLines="50" w:line="240" w:lineRule="atLeast"/>
        <w:ind w:left="851" w:rightChars="-139" w:right="-334" w:hanging="851"/>
        <w:jc w:val="both"/>
        <w:rPr>
          <w:rFonts w:eastAsia="標楷體"/>
          <w:b/>
          <w:color w:val="000000"/>
          <w:sz w:val="28"/>
          <w:szCs w:val="28"/>
        </w:rPr>
      </w:pPr>
      <w:r w:rsidRPr="00BC374A">
        <w:rPr>
          <w:rFonts w:eastAsia="標楷體" w:hint="eastAsia"/>
          <w:b/>
          <w:color w:val="000000"/>
          <w:sz w:val="28"/>
          <w:szCs w:val="28"/>
        </w:rPr>
        <w:t>教育部各級學校學生安全健康上網實施計畫（草案）</w:t>
      </w:r>
    </w:p>
    <w:p w:rsidR="006622C0" w:rsidRPr="00BC374A" w:rsidRDefault="006622C0" w:rsidP="002D0B56">
      <w:pPr>
        <w:numPr>
          <w:ilvl w:val="0"/>
          <w:numId w:val="5"/>
        </w:numPr>
        <w:spacing w:line="240" w:lineRule="atLeast"/>
        <w:ind w:left="720" w:rightChars="-139" w:right="-334" w:hanging="578"/>
        <w:jc w:val="both"/>
        <w:rPr>
          <w:rFonts w:eastAsia="標楷體"/>
          <w:color w:val="000000"/>
          <w:sz w:val="28"/>
          <w:szCs w:val="28"/>
        </w:rPr>
      </w:pPr>
      <w:r w:rsidRPr="00BC374A">
        <w:rPr>
          <w:rFonts w:eastAsia="標楷體" w:hint="eastAsia"/>
          <w:color w:val="000000"/>
          <w:sz w:val="28"/>
          <w:szCs w:val="28"/>
        </w:rPr>
        <w:t>家庭教育中心將資訊倫理、安全健康上網、親職教育及網路沉迷之辨識，納入個案研討或志工培訓課程之必辦議題，以提升家庭教育志工相關知能，運用於個案諮詢及推廣服務上。</w:t>
      </w:r>
    </w:p>
    <w:p w:rsidR="006622C0" w:rsidRPr="00BC374A" w:rsidRDefault="006622C0" w:rsidP="002D0B56">
      <w:pPr>
        <w:numPr>
          <w:ilvl w:val="0"/>
          <w:numId w:val="5"/>
        </w:numPr>
        <w:spacing w:line="240" w:lineRule="atLeast"/>
        <w:ind w:left="720" w:rightChars="-139" w:right="-334" w:hanging="578"/>
        <w:jc w:val="both"/>
        <w:rPr>
          <w:rFonts w:eastAsia="標楷體"/>
          <w:color w:val="000000"/>
          <w:sz w:val="28"/>
          <w:szCs w:val="28"/>
        </w:rPr>
      </w:pPr>
      <w:r w:rsidRPr="00BC374A">
        <w:rPr>
          <w:rFonts w:eastAsia="標楷體" w:hint="eastAsia"/>
          <w:color w:val="000000"/>
          <w:sz w:val="28"/>
          <w:szCs w:val="28"/>
        </w:rPr>
        <w:t>結合教育部資訊倫理、安全健康上網及網路沉迷輔導管教等手冊內容，以多元角度協助老師及家長了解並關心孩子的網路世界。</w:t>
      </w:r>
    </w:p>
    <w:p w:rsidR="006622C0" w:rsidRPr="00BC374A" w:rsidRDefault="006622C0" w:rsidP="002D0B56">
      <w:pPr>
        <w:numPr>
          <w:ilvl w:val="0"/>
          <w:numId w:val="5"/>
        </w:numPr>
        <w:spacing w:line="240" w:lineRule="atLeast"/>
        <w:ind w:left="720" w:rightChars="-139" w:right="-334" w:hanging="578"/>
        <w:jc w:val="both"/>
        <w:rPr>
          <w:rFonts w:eastAsia="標楷體"/>
          <w:color w:val="000000"/>
          <w:sz w:val="28"/>
          <w:szCs w:val="28"/>
        </w:rPr>
      </w:pPr>
      <w:r w:rsidRPr="00BC374A">
        <w:rPr>
          <w:rFonts w:eastAsia="標楷體" w:hint="eastAsia"/>
          <w:color w:val="000000"/>
          <w:sz w:val="28"/>
          <w:szCs w:val="28"/>
        </w:rPr>
        <w:t>各直轄市及縣</w:t>
      </w:r>
      <w:r w:rsidRPr="00BC374A">
        <w:rPr>
          <w:rFonts w:eastAsia="標楷體"/>
          <w:color w:val="000000"/>
          <w:sz w:val="28"/>
          <w:szCs w:val="28"/>
        </w:rPr>
        <w:t>(</w:t>
      </w:r>
      <w:r w:rsidRPr="00BC374A">
        <w:rPr>
          <w:rFonts w:eastAsia="標楷體" w:hint="eastAsia"/>
          <w:color w:val="000000"/>
          <w:sz w:val="28"/>
          <w:szCs w:val="28"/>
        </w:rPr>
        <w:t>市</w:t>
      </w:r>
      <w:r w:rsidRPr="00BC374A">
        <w:rPr>
          <w:rFonts w:eastAsia="標楷體"/>
          <w:color w:val="000000"/>
          <w:sz w:val="28"/>
          <w:szCs w:val="28"/>
        </w:rPr>
        <w:t>)</w:t>
      </w:r>
      <w:r w:rsidRPr="00BC374A">
        <w:rPr>
          <w:rFonts w:eastAsia="標楷體" w:hint="eastAsia"/>
          <w:color w:val="000000"/>
          <w:sz w:val="28"/>
          <w:szCs w:val="28"/>
        </w:rPr>
        <w:t>家庭教育將資訊倫理、安全健康上網、親職教育及網路沉迷之辨識輔導原則等，納入親職教育種子教師培訓課程。</w:t>
      </w:r>
    </w:p>
    <w:p w:rsidR="006622C0" w:rsidRPr="00BC374A" w:rsidRDefault="006622C0" w:rsidP="002D0B56">
      <w:pPr>
        <w:numPr>
          <w:ilvl w:val="0"/>
          <w:numId w:val="5"/>
        </w:numPr>
        <w:spacing w:line="240" w:lineRule="atLeast"/>
        <w:ind w:left="720" w:rightChars="-139" w:right="-334" w:hanging="578"/>
        <w:jc w:val="both"/>
        <w:rPr>
          <w:rFonts w:ascii="標楷體" w:eastAsia="標楷體" w:hAnsi="標楷體"/>
          <w:color w:val="000000"/>
          <w:sz w:val="28"/>
          <w:szCs w:val="28"/>
        </w:rPr>
      </w:pPr>
      <w:r w:rsidRPr="00BC374A">
        <w:rPr>
          <w:rFonts w:ascii="標楷體" w:eastAsia="標楷體" w:hAnsi="標楷體" w:hint="eastAsia"/>
          <w:color w:val="000000"/>
          <w:sz w:val="28"/>
          <w:szCs w:val="28"/>
        </w:rPr>
        <w:t>鼓勵轄屬學校於親職教育</w:t>
      </w:r>
      <w:r w:rsidRPr="00BC374A">
        <w:rPr>
          <w:rFonts w:ascii="標楷體" w:eastAsia="標楷體" w:hAnsi="標楷體"/>
          <w:color w:val="000000"/>
          <w:sz w:val="28"/>
          <w:szCs w:val="28"/>
        </w:rPr>
        <w:t>(</w:t>
      </w:r>
      <w:r w:rsidRPr="00BC374A">
        <w:rPr>
          <w:rFonts w:ascii="標楷體" w:eastAsia="標楷體" w:hAnsi="標楷體" w:hint="eastAsia"/>
          <w:color w:val="000000"/>
          <w:sz w:val="28"/>
          <w:szCs w:val="28"/>
        </w:rPr>
        <w:t>如：親師座談會、班親會</w:t>
      </w:r>
      <w:r w:rsidRPr="00BC374A">
        <w:rPr>
          <w:rFonts w:ascii="標楷體" w:eastAsia="標楷體" w:hAnsi="標楷體"/>
          <w:color w:val="000000"/>
          <w:sz w:val="28"/>
          <w:szCs w:val="28"/>
        </w:rPr>
        <w:t>)</w:t>
      </w:r>
      <w:r w:rsidRPr="00BC374A">
        <w:rPr>
          <w:rFonts w:ascii="標楷體" w:eastAsia="標楷體" w:hAnsi="標楷體" w:hint="eastAsia"/>
          <w:color w:val="000000"/>
          <w:sz w:val="28"/>
          <w:szCs w:val="28"/>
        </w:rPr>
        <w:t>辦理教導孩子情緒管理、辨識誘惑情境及克制慾望技巧，以及親子衝突的溝通技巧訓練。（協辦）</w:t>
      </w:r>
    </w:p>
    <w:p w:rsidR="006622C0" w:rsidRPr="00BC374A" w:rsidRDefault="006622C0" w:rsidP="002D0B56">
      <w:pPr>
        <w:numPr>
          <w:ilvl w:val="0"/>
          <w:numId w:val="5"/>
        </w:numPr>
        <w:spacing w:line="240" w:lineRule="atLeast"/>
        <w:ind w:left="720" w:rightChars="-139" w:right="-334" w:hanging="578"/>
        <w:jc w:val="both"/>
        <w:rPr>
          <w:rFonts w:eastAsia="標楷體"/>
          <w:color w:val="000000"/>
          <w:sz w:val="28"/>
          <w:szCs w:val="28"/>
        </w:rPr>
      </w:pPr>
      <w:r w:rsidRPr="00BC374A">
        <w:rPr>
          <w:rFonts w:eastAsia="標楷體" w:hint="eastAsia"/>
          <w:color w:val="000000"/>
          <w:sz w:val="28"/>
          <w:szCs w:val="28"/>
          <w:u w:val="single"/>
        </w:rPr>
        <w:t>將網路不當使用防制之家長親職教育，列為補助</w:t>
      </w:r>
      <w:r w:rsidRPr="00BC374A">
        <w:rPr>
          <w:rFonts w:eastAsia="標楷體" w:hint="eastAsia"/>
          <w:color w:val="000000"/>
          <w:sz w:val="28"/>
          <w:szCs w:val="28"/>
        </w:rPr>
        <w:t>各縣市政府年度推動數位機會中心及</w:t>
      </w:r>
      <w:r w:rsidRPr="00BC374A">
        <w:rPr>
          <w:rFonts w:eastAsia="標楷體" w:hint="eastAsia"/>
          <w:color w:val="000000"/>
          <w:sz w:val="28"/>
          <w:szCs w:val="28"/>
          <w:u w:val="single"/>
        </w:rPr>
        <w:t>家庭教育中心年度計畫之重點議題，且列入本部統合視導訪視指標（</w:t>
      </w:r>
      <w:r w:rsidRPr="00BC374A">
        <w:rPr>
          <w:rFonts w:ascii="標楷體" w:eastAsia="標楷體" w:hAnsi="標楷體" w:hint="eastAsia"/>
          <w:color w:val="000000"/>
          <w:sz w:val="28"/>
          <w:szCs w:val="28"/>
        </w:rPr>
        <w:t>教育部</w:t>
      </w:r>
      <w:r w:rsidRPr="00BC374A">
        <w:rPr>
          <w:rFonts w:eastAsia="標楷體" w:hint="eastAsia"/>
          <w:color w:val="000000"/>
          <w:sz w:val="28"/>
          <w:szCs w:val="28"/>
          <w:u w:val="single"/>
        </w:rPr>
        <w:t>）；結合家庭教育中心</w:t>
      </w:r>
      <w:r w:rsidRPr="00BC374A">
        <w:rPr>
          <w:rFonts w:eastAsia="標楷體" w:hint="eastAsia"/>
          <w:color w:val="000000"/>
          <w:sz w:val="28"/>
          <w:szCs w:val="28"/>
        </w:rPr>
        <w:t>、數位機會中心</w:t>
      </w:r>
      <w:r w:rsidRPr="00BC374A">
        <w:rPr>
          <w:rFonts w:eastAsia="標楷體"/>
          <w:color w:val="000000"/>
          <w:sz w:val="28"/>
          <w:szCs w:val="28"/>
        </w:rPr>
        <w:t>(DOC)</w:t>
      </w:r>
      <w:r w:rsidRPr="00BC374A">
        <w:rPr>
          <w:rFonts w:eastAsia="標楷體" w:hint="eastAsia"/>
          <w:color w:val="000000"/>
          <w:sz w:val="28"/>
          <w:szCs w:val="28"/>
        </w:rPr>
        <w:t>或民眾活動</w:t>
      </w:r>
      <w:r w:rsidRPr="00BC374A">
        <w:rPr>
          <w:rFonts w:eastAsia="標楷體" w:hint="eastAsia"/>
          <w:color w:val="000000"/>
          <w:sz w:val="28"/>
          <w:szCs w:val="28"/>
          <w:u w:val="single"/>
        </w:rPr>
        <w:t>辦理家長指導學生安全健康上網及資訊倫理之相關課程。</w:t>
      </w:r>
    </w:p>
    <w:p w:rsidR="006622C0" w:rsidRPr="00BC374A" w:rsidRDefault="006622C0" w:rsidP="00236603">
      <w:pPr>
        <w:numPr>
          <w:ilvl w:val="0"/>
          <w:numId w:val="5"/>
        </w:numPr>
        <w:spacing w:afterLines="50" w:line="240" w:lineRule="atLeast"/>
        <w:ind w:left="720" w:rightChars="-139" w:right="-334" w:hanging="578"/>
        <w:jc w:val="both"/>
        <w:rPr>
          <w:rFonts w:eastAsia="標楷體"/>
          <w:color w:val="000000"/>
          <w:sz w:val="28"/>
          <w:szCs w:val="28"/>
        </w:rPr>
      </w:pPr>
      <w:r w:rsidRPr="00BC374A">
        <w:rPr>
          <w:rFonts w:eastAsia="標楷體" w:hint="eastAsia"/>
          <w:color w:val="000000"/>
          <w:sz w:val="28"/>
          <w:szCs w:val="28"/>
        </w:rPr>
        <w:t>家庭教育中心強化提供家長有關子女網路沉迷或不當網路使用之親職教育問題及輔導資源轉介之諮詢，加入相關問題諮詢類別。</w:t>
      </w:r>
    </w:p>
    <w:p w:rsidR="006622C0" w:rsidRPr="00BC374A" w:rsidRDefault="006622C0" w:rsidP="00236603">
      <w:pPr>
        <w:numPr>
          <w:ilvl w:val="0"/>
          <w:numId w:val="7"/>
        </w:numPr>
        <w:tabs>
          <w:tab w:val="left" w:pos="567"/>
        </w:tabs>
        <w:spacing w:beforeLines="50" w:afterLines="50" w:line="240" w:lineRule="atLeast"/>
        <w:ind w:rightChars="-139" w:right="-334"/>
        <w:jc w:val="both"/>
        <w:rPr>
          <w:rFonts w:eastAsia="標楷體"/>
          <w:b/>
          <w:color w:val="000000"/>
          <w:sz w:val="28"/>
          <w:szCs w:val="28"/>
        </w:rPr>
      </w:pPr>
      <w:r w:rsidRPr="00BC374A">
        <w:rPr>
          <w:rFonts w:eastAsia="標楷體" w:hint="eastAsia"/>
          <w:b/>
          <w:color w:val="000000"/>
          <w:sz w:val="28"/>
          <w:szCs w:val="28"/>
        </w:rPr>
        <w:t>教育部品德教育促進方案工作計畫</w:t>
      </w:r>
    </w:p>
    <w:p w:rsidR="006622C0" w:rsidRPr="00BC374A" w:rsidRDefault="006622C0" w:rsidP="00236603">
      <w:pPr>
        <w:tabs>
          <w:tab w:val="left" w:pos="709"/>
        </w:tabs>
        <w:spacing w:beforeLines="50" w:line="240" w:lineRule="atLeast"/>
        <w:ind w:leftChars="236" w:left="566"/>
        <w:jc w:val="both"/>
        <w:rPr>
          <w:rFonts w:eastAsia="標楷體"/>
          <w:color w:val="000000"/>
          <w:sz w:val="28"/>
          <w:szCs w:val="28"/>
        </w:rPr>
      </w:pPr>
      <w:r w:rsidRPr="00BC374A">
        <w:rPr>
          <w:rFonts w:eastAsia="標楷體" w:hint="eastAsia"/>
          <w:color w:val="000000"/>
          <w:sz w:val="28"/>
          <w:szCs w:val="28"/>
        </w:rPr>
        <w:t>實施策略</w:t>
      </w:r>
      <w:r w:rsidRPr="00BC374A">
        <w:rPr>
          <w:rFonts w:eastAsia="標楷體"/>
          <w:color w:val="000000"/>
          <w:sz w:val="28"/>
          <w:szCs w:val="28"/>
        </w:rPr>
        <w:t>(</w:t>
      </w:r>
      <w:r w:rsidRPr="00BC374A">
        <w:rPr>
          <w:rFonts w:eastAsia="標楷體" w:hint="eastAsia"/>
          <w:color w:val="000000"/>
          <w:sz w:val="28"/>
          <w:szCs w:val="28"/>
        </w:rPr>
        <w:t>六</w:t>
      </w:r>
      <w:r w:rsidRPr="00BC374A">
        <w:rPr>
          <w:rFonts w:eastAsia="標楷體"/>
          <w:color w:val="000000"/>
          <w:sz w:val="28"/>
          <w:szCs w:val="28"/>
        </w:rPr>
        <w:t>)</w:t>
      </w:r>
      <w:r w:rsidRPr="00BC374A">
        <w:rPr>
          <w:rFonts w:eastAsia="標楷體" w:hint="eastAsia"/>
          <w:color w:val="000000"/>
          <w:sz w:val="28"/>
          <w:szCs w:val="28"/>
        </w:rPr>
        <w:t>推廣品德教育宣導及實踐活動</w:t>
      </w:r>
    </w:p>
    <w:p w:rsidR="006622C0" w:rsidRPr="00BC374A" w:rsidRDefault="006622C0" w:rsidP="00236603">
      <w:pPr>
        <w:tabs>
          <w:tab w:val="left" w:pos="709"/>
        </w:tabs>
        <w:spacing w:afterLines="50" w:line="240" w:lineRule="atLeast"/>
        <w:ind w:leftChars="236" w:left="566"/>
        <w:jc w:val="both"/>
        <w:rPr>
          <w:rFonts w:eastAsia="標楷體"/>
          <w:color w:val="000000"/>
          <w:sz w:val="28"/>
          <w:szCs w:val="28"/>
        </w:rPr>
      </w:pPr>
      <w:r w:rsidRPr="00BC374A">
        <w:rPr>
          <w:rFonts w:eastAsia="標楷體"/>
          <w:color w:val="000000"/>
          <w:sz w:val="28"/>
          <w:szCs w:val="28"/>
        </w:rPr>
        <w:t>2.</w:t>
      </w:r>
      <w:r w:rsidRPr="00BC374A">
        <w:rPr>
          <w:rFonts w:eastAsia="標楷體" w:hint="eastAsia"/>
          <w:color w:val="000000"/>
          <w:sz w:val="28"/>
          <w:szCs w:val="28"/>
        </w:rPr>
        <w:t>鼓勵與獎勵各縣市社區大學、家庭教育中心及民間團體辦理品德教育相關親職課程或推廣活動，以提升社會大眾與家長對品德核心價值之認知、情感、意志與行為。</w:t>
      </w:r>
    </w:p>
    <w:p w:rsidR="006622C0" w:rsidRPr="00BC374A" w:rsidRDefault="006622C0" w:rsidP="00236603">
      <w:pPr>
        <w:tabs>
          <w:tab w:val="left" w:pos="709"/>
        </w:tabs>
        <w:spacing w:afterLines="50" w:line="240" w:lineRule="atLeast"/>
        <w:ind w:leftChars="236" w:left="566"/>
        <w:jc w:val="both"/>
        <w:rPr>
          <w:rFonts w:eastAsia="標楷體"/>
          <w:color w:val="000000"/>
          <w:sz w:val="28"/>
          <w:szCs w:val="28"/>
        </w:rPr>
      </w:pPr>
      <w:r w:rsidRPr="00BC374A">
        <w:rPr>
          <w:rFonts w:eastAsia="標楷體" w:hint="eastAsia"/>
          <w:color w:val="000000"/>
          <w:sz w:val="28"/>
          <w:szCs w:val="28"/>
        </w:rPr>
        <w:t>爰請將品德教育納入親職教育活動規劃，並配合辦理慈孝家庭系列活動、慈孝家庭楷模表揚及祖父母節系列活動。</w:t>
      </w:r>
    </w:p>
    <w:p w:rsidR="006622C0" w:rsidRPr="00BC374A" w:rsidRDefault="006622C0" w:rsidP="00236603">
      <w:pPr>
        <w:numPr>
          <w:ilvl w:val="0"/>
          <w:numId w:val="7"/>
        </w:numPr>
        <w:tabs>
          <w:tab w:val="left" w:pos="993"/>
        </w:tabs>
        <w:spacing w:beforeLines="50" w:afterLines="50" w:line="240" w:lineRule="atLeast"/>
        <w:ind w:left="993" w:rightChars="-139" w:right="-334" w:hanging="993"/>
        <w:jc w:val="both"/>
        <w:rPr>
          <w:rFonts w:eastAsia="標楷體"/>
          <w:b/>
          <w:color w:val="000000"/>
          <w:sz w:val="28"/>
          <w:szCs w:val="28"/>
        </w:rPr>
      </w:pPr>
      <w:r w:rsidRPr="00BC374A">
        <w:rPr>
          <w:rFonts w:ascii="標楷體" w:eastAsia="標楷體" w:hAnsi="標楷體" w:hint="eastAsia"/>
          <w:b/>
          <w:color w:val="000000"/>
          <w:sz w:val="28"/>
          <w:szCs w:val="28"/>
        </w:rPr>
        <w:t>教育部</w:t>
      </w:r>
      <w:r w:rsidRPr="00BC374A">
        <w:rPr>
          <w:rFonts w:ascii="標楷體" w:eastAsia="標楷體" w:hAnsi="標楷體"/>
          <w:b/>
          <w:color w:val="000000"/>
          <w:sz w:val="28"/>
          <w:szCs w:val="28"/>
        </w:rPr>
        <w:t>104</w:t>
      </w:r>
      <w:r w:rsidRPr="00BC374A">
        <w:rPr>
          <w:rFonts w:ascii="標楷體" w:eastAsia="標楷體" w:hAnsi="標楷體" w:hint="eastAsia"/>
          <w:b/>
          <w:color w:val="000000"/>
          <w:sz w:val="28"/>
          <w:szCs w:val="28"/>
        </w:rPr>
        <w:t>年「各司、署推動紫錐花運動及防制學生藥物濫用工作要項」一覽表</w:t>
      </w:r>
    </w:p>
    <w:p w:rsidR="006622C0" w:rsidRPr="00B01469" w:rsidRDefault="006622C0" w:rsidP="00AD6A14">
      <w:pPr>
        <w:tabs>
          <w:tab w:val="left" w:pos="709"/>
        </w:tabs>
        <w:spacing w:afterLines="50" w:line="240" w:lineRule="atLeast"/>
        <w:ind w:leftChars="236" w:left="566"/>
        <w:jc w:val="both"/>
        <w:rPr>
          <w:rFonts w:eastAsia="標楷體"/>
          <w:color w:val="000000"/>
          <w:sz w:val="28"/>
          <w:szCs w:val="28"/>
        </w:rPr>
      </w:pPr>
      <w:r w:rsidRPr="00BC374A">
        <w:rPr>
          <w:rFonts w:eastAsia="標楷體" w:hint="eastAsia"/>
          <w:color w:val="000000"/>
          <w:sz w:val="28"/>
          <w:szCs w:val="28"/>
        </w:rPr>
        <w:t>督導各縣市政府教育局</w:t>
      </w:r>
      <w:r w:rsidRPr="00BC374A">
        <w:rPr>
          <w:rFonts w:eastAsia="標楷體"/>
          <w:color w:val="000000"/>
          <w:sz w:val="28"/>
          <w:szCs w:val="28"/>
        </w:rPr>
        <w:t>(</w:t>
      </w:r>
      <w:r w:rsidRPr="00BC374A">
        <w:rPr>
          <w:rFonts w:eastAsia="標楷體" w:hint="eastAsia"/>
          <w:color w:val="000000"/>
          <w:sz w:val="28"/>
          <w:szCs w:val="28"/>
        </w:rPr>
        <w:t>處</w:t>
      </w:r>
      <w:r w:rsidRPr="00BC374A">
        <w:rPr>
          <w:rFonts w:eastAsia="標楷體"/>
          <w:color w:val="000000"/>
          <w:sz w:val="28"/>
          <w:szCs w:val="28"/>
        </w:rPr>
        <w:t>)</w:t>
      </w:r>
      <w:r w:rsidRPr="00BC374A">
        <w:rPr>
          <w:rFonts w:eastAsia="標楷體" w:hint="eastAsia"/>
          <w:color w:val="000000"/>
          <w:sz w:val="28"/>
          <w:szCs w:val="28"/>
        </w:rPr>
        <w:t>發揮家庭教育中心功能，加強對家長宣導反毒觀念。</w:t>
      </w:r>
    </w:p>
    <w:sectPr w:rsidR="006622C0" w:rsidRPr="00B01469" w:rsidSect="00234CE4">
      <w:footerReference w:type="default" r:id="rId7"/>
      <w:pgSz w:w="11906" w:h="16838"/>
      <w:pgMar w:top="1021" w:right="1418" w:bottom="1021" w:left="1418" w:header="567" w:footer="680"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2C0" w:rsidRDefault="006622C0" w:rsidP="00D20DC7">
      <w:r>
        <w:separator/>
      </w:r>
    </w:p>
  </w:endnote>
  <w:endnote w:type="continuationSeparator" w:id="0">
    <w:p w:rsidR="006622C0" w:rsidRDefault="006622C0" w:rsidP="00D20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2C0" w:rsidRDefault="006622C0" w:rsidP="00B01469">
    <w:pPr>
      <w:pStyle w:val="Footer"/>
      <w:jc w:val="center"/>
    </w:pPr>
    <w:fldSimple w:instr="PAGE   \* MERGEFORMAT">
      <w:r w:rsidRPr="00236603">
        <w:rPr>
          <w:noProof/>
          <w:lang w:val="zh-TW"/>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2C0" w:rsidRDefault="006622C0" w:rsidP="00D20DC7">
      <w:r>
        <w:separator/>
      </w:r>
    </w:p>
  </w:footnote>
  <w:footnote w:type="continuationSeparator" w:id="0">
    <w:p w:rsidR="006622C0" w:rsidRDefault="006622C0" w:rsidP="00D20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4858"/>
    <w:multiLevelType w:val="hybridMultilevel"/>
    <w:tmpl w:val="B1BC1254"/>
    <w:lvl w:ilvl="0" w:tplc="B5A4E2AC">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0C03B5A"/>
    <w:multiLevelType w:val="hybridMultilevel"/>
    <w:tmpl w:val="DBD03B76"/>
    <w:lvl w:ilvl="0" w:tplc="0980D29A">
      <w:start w:val="1"/>
      <w:numFmt w:val="taiwaneseCountingThousand"/>
      <w:lvlText w:val="(%1)"/>
      <w:lvlJc w:val="left"/>
      <w:pPr>
        <w:ind w:left="480" w:hanging="480"/>
      </w:pPr>
      <w:rPr>
        <w:rFonts w:cs="Times New Roman" w:hint="eastAsia"/>
        <w:b w:val="0"/>
        <w:i w:val="0"/>
        <w:color w:val="00000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E932D60"/>
    <w:multiLevelType w:val="hybridMultilevel"/>
    <w:tmpl w:val="DF24EC86"/>
    <w:lvl w:ilvl="0" w:tplc="33884252">
      <w:start w:val="1"/>
      <w:numFmt w:val="taiwaneseCountingThousand"/>
      <w:lvlText w:val="(%1)"/>
      <w:lvlJc w:val="left"/>
      <w:pPr>
        <w:ind w:left="420" w:hanging="480"/>
      </w:pPr>
      <w:rPr>
        <w:rFonts w:cs="Times New Roman" w:hint="default"/>
        <w:color w:val="000000"/>
      </w:rPr>
    </w:lvl>
    <w:lvl w:ilvl="1" w:tplc="04090019" w:tentative="1">
      <w:start w:val="1"/>
      <w:numFmt w:val="ideographTraditional"/>
      <w:lvlText w:val="%2、"/>
      <w:lvlJc w:val="left"/>
      <w:pPr>
        <w:ind w:left="900" w:hanging="480"/>
      </w:pPr>
      <w:rPr>
        <w:rFonts w:cs="Times New Roman"/>
      </w:rPr>
    </w:lvl>
    <w:lvl w:ilvl="2" w:tplc="0409001B" w:tentative="1">
      <w:start w:val="1"/>
      <w:numFmt w:val="lowerRoman"/>
      <w:lvlText w:val="%3."/>
      <w:lvlJc w:val="right"/>
      <w:pPr>
        <w:ind w:left="1380" w:hanging="480"/>
      </w:pPr>
      <w:rPr>
        <w:rFonts w:cs="Times New Roman"/>
      </w:rPr>
    </w:lvl>
    <w:lvl w:ilvl="3" w:tplc="0409000F" w:tentative="1">
      <w:start w:val="1"/>
      <w:numFmt w:val="decimal"/>
      <w:lvlText w:val="%4."/>
      <w:lvlJc w:val="left"/>
      <w:pPr>
        <w:ind w:left="1860" w:hanging="480"/>
      </w:pPr>
      <w:rPr>
        <w:rFonts w:cs="Times New Roman"/>
      </w:rPr>
    </w:lvl>
    <w:lvl w:ilvl="4" w:tplc="04090019" w:tentative="1">
      <w:start w:val="1"/>
      <w:numFmt w:val="ideographTraditional"/>
      <w:lvlText w:val="%5、"/>
      <w:lvlJc w:val="left"/>
      <w:pPr>
        <w:ind w:left="2340" w:hanging="480"/>
      </w:pPr>
      <w:rPr>
        <w:rFonts w:cs="Times New Roman"/>
      </w:rPr>
    </w:lvl>
    <w:lvl w:ilvl="5" w:tplc="0409001B" w:tentative="1">
      <w:start w:val="1"/>
      <w:numFmt w:val="lowerRoman"/>
      <w:lvlText w:val="%6."/>
      <w:lvlJc w:val="right"/>
      <w:pPr>
        <w:ind w:left="2820" w:hanging="480"/>
      </w:pPr>
      <w:rPr>
        <w:rFonts w:cs="Times New Roman"/>
      </w:rPr>
    </w:lvl>
    <w:lvl w:ilvl="6" w:tplc="0409000F" w:tentative="1">
      <w:start w:val="1"/>
      <w:numFmt w:val="decimal"/>
      <w:lvlText w:val="%7."/>
      <w:lvlJc w:val="left"/>
      <w:pPr>
        <w:ind w:left="3300" w:hanging="480"/>
      </w:pPr>
      <w:rPr>
        <w:rFonts w:cs="Times New Roman"/>
      </w:rPr>
    </w:lvl>
    <w:lvl w:ilvl="7" w:tplc="04090019" w:tentative="1">
      <w:start w:val="1"/>
      <w:numFmt w:val="ideographTraditional"/>
      <w:lvlText w:val="%8、"/>
      <w:lvlJc w:val="left"/>
      <w:pPr>
        <w:ind w:left="3780" w:hanging="480"/>
      </w:pPr>
      <w:rPr>
        <w:rFonts w:cs="Times New Roman"/>
      </w:rPr>
    </w:lvl>
    <w:lvl w:ilvl="8" w:tplc="0409001B" w:tentative="1">
      <w:start w:val="1"/>
      <w:numFmt w:val="lowerRoman"/>
      <w:lvlText w:val="%9."/>
      <w:lvlJc w:val="right"/>
      <w:pPr>
        <w:ind w:left="4260" w:hanging="480"/>
      </w:pPr>
      <w:rPr>
        <w:rFonts w:cs="Times New Roman"/>
      </w:rPr>
    </w:lvl>
  </w:abstractNum>
  <w:abstractNum w:abstractNumId="3">
    <w:nsid w:val="3AFC171D"/>
    <w:multiLevelType w:val="hybridMultilevel"/>
    <w:tmpl w:val="E7E254FE"/>
    <w:lvl w:ilvl="0" w:tplc="33884252">
      <w:start w:val="1"/>
      <w:numFmt w:val="taiwaneseCountingThousand"/>
      <w:lvlText w:val="(%1)"/>
      <w:lvlJc w:val="left"/>
      <w:pPr>
        <w:ind w:left="420" w:hanging="480"/>
      </w:pPr>
      <w:rPr>
        <w:rFonts w:cs="Times New Roman" w:hint="default"/>
        <w:color w:val="000000"/>
      </w:rPr>
    </w:lvl>
    <w:lvl w:ilvl="1" w:tplc="04090019" w:tentative="1">
      <w:start w:val="1"/>
      <w:numFmt w:val="ideographTraditional"/>
      <w:lvlText w:val="%2、"/>
      <w:lvlJc w:val="left"/>
      <w:pPr>
        <w:ind w:left="900" w:hanging="480"/>
      </w:pPr>
      <w:rPr>
        <w:rFonts w:cs="Times New Roman"/>
      </w:rPr>
    </w:lvl>
    <w:lvl w:ilvl="2" w:tplc="0409001B" w:tentative="1">
      <w:start w:val="1"/>
      <w:numFmt w:val="lowerRoman"/>
      <w:lvlText w:val="%3."/>
      <w:lvlJc w:val="right"/>
      <w:pPr>
        <w:ind w:left="1380" w:hanging="480"/>
      </w:pPr>
      <w:rPr>
        <w:rFonts w:cs="Times New Roman"/>
      </w:rPr>
    </w:lvl>
    <w:lvl w:ilvl="3" w:tplc="0409000F" w:tentative="1">
      <w:start w:val="1"/>
      <w:numFmt w:val="decimal"/>
      <w:lvlText w:val="%4."/>
      <w:lvlJc w:val="left"/>
      <w:pPr>
        <w:ind w:left="1860" w:hanging="480"/>
      </w:pPr>
      <w:rPr>
        <w:rFonts w:cs="Times New Roman"/>
      </w:rPr>
    </w:lvl>
    <w:lvl w:ilvl="4" w:tplc="04090019" w:tentative="1">
      <w:start w:val="1"/>
      <w:numFmt w:val="ideographTraditional"/>
      <w:lvlText w:val="%5、"/>
      <w:lvlJc w:val="left"/>
      <w:pPr>
        <w:ind w:left="2340" w:hanging="480"/>
      </w:pPr>
      <w:rPr>
        <w:rFonts w:cs="Times New Roman"/>
      </w:rPr>
    </w:lvl>
    <w:lvl w:ilvl="5" w:tplc="0409001B" w:tentative="1">
      <w:start w:val="1"/>
      <w:numFmt w:val="lowerRoman"/>
      <w:lvlText w:val="%6."/>
      <w:lvlJc w:val="right"/>
      <w:pPr>
        <w:ind w:left="2820" w:hanging="480"/>
      </w:pPr>
      <w:rPr>
        <w:rFonts w:cs="Times New Roman"/>
      </w:rPr>
    </w:lvl>
    <w:lvl w:ilvl="6" w:tplc="0409000F" w:tentative="1">
      <w:start w:val="1"/>
      <w:numFmt w:val="decimal"/>
      <w:lvlText w:val="%7."/>
      <w:lvlJc w:val="left"/>
      <w:pPr>
        <w:ind w:left="3300" w:hanging="480"/>
      </w:pPr>
      <w:rPr>
        <w:rFonts w:cs="Times New Roman"/>
      </w:rPr>
    </w:lvl>
    <w:lvl w:ilvl="7" w:tplc="04090019" w:tentative="1">
      <w:start w:val="1"/>
      <w:numFmt w:val="ideographTraditional"/>
      <w:lvlText w:val="%8、"/>
      <w:lvlJc w:val="left"/>
      <w:pPr>
        <w:ind w:left="3780" w:hanging="480"/>
      </w:pPr>
      <w:rPr>
        <w:rFonts w:cs="Times New Roman"/>
      </w:rPr>
    </w:lvl>
    <w:lvl w:ilvl="8" w:tplc="0409001B" w:tentative="1">
      <w:start w:val="1"/>
      <w:numFmt w:val="lowerRoman"/>
      <w:lvlText w:val="%9."/>
      <w:lvlJc w:val="right"/>
      <w:pPr>
        <w:ind w:left="4260" w:hanging="480"/>
      </w:pPr>
      <w:rPr>
        <w:rFonts w:cs="Times New Roman"/>
      </w:rPr>
    </w:lvl>
  </w:abstractNum>
  <w:abstractNum w:abstractNumId="4">
    <w:nsid w:val="44291E43"/>
    <w:multiLevelType w:val="hybridMultilevel"/>
    <w:tmpl w:val="924AA652"/>
    <w:lvl w:ilvl="0" w:tplc="3A402408">
      <w:start w:val="1"/>
      <w:numFmt w:val="taiwaneseCountingThousand"/>
      <w:lvlText w:val="（%1）"/>
      <w:lvlJc w:val="left"/>
      <w:pPr>
        <w:ind w:left="959" w:hanging="480"/>
      </w:pPr>
      <w:rPr>
        <w:rFonts w:eastAsia="標楷體" w:cs="Times New Roman" w:hint="eastAsia"/>
        <w:b w:val="0"/>
        <w:i w:val="0"/>
        <w:color w:val="000000"/>
        <w:sz w:val="28"/>
      </w:rPr>
    </w:lvl>
    <w:lvl w:ilvl="1" w:tplc="04090019" w:tentative="1">
      <w:start w:val="1"/>
      <w:numFmt w:val="ideographTraditional"/>
      <w:lvlText w:val="%2、"/>
      <w:lvlJc w:val="left"/>
      <w:pPr>
        <w:ind w:left="1439" w:hanging="480"/>
      </w:pPr>
      <w:rPr>
        <w:rFonts w:cs="Times New Roman"/>
      </w:rPr>
    </w:lvl>
    <w:lvl w:ilvl="2" w:tplc="0409001B" w:tentative="1">
      <w:start w:val="1"/>
      <w:numFmt w:val="lowerRoman"/>
      <w:lvlText w:val="%3."/>
      <w:lvlJc w:val="right"/>
      <w:pPr>
        <w:ind w:left="1919" w:hanging="480"/>
      </w:pPr>
      <w:rPr>
        <w:rFonts w:cs="Times New Roman"/>
      </w:rPr>
    </w:lvl>
    <w:lvl w:ilvl="3" w:tplc="0409000F" w:tentative="1">
      <w:start w:val="1"/>
      <w:numFmt w:val="decimal"/>
      <w:lvlText w:val="%4."/>
      <w:lvlJc w:val="left"/>
      <w:pPr>
        <w:ind w:left="2399" w:hanging="480"/>
      </w:pPr>
      <w:rPr>
        <w:rFonts w:cs="Times New Roman"/>
      </w:rPr>
    </w:lvl>
    <w:lvl w:ilvl="4" w:tplc="04090019" w:tentative="1">
      <w:start w:val="1"/>
      <w:numFmt w:val="ideographTraditional"/>
      <w:lvlText w:val="%5、"/>
      <w:lvlJc w:val="left"/>
      <w:pPr>
        <w:ind w:left="2879" w:hanging="480"/>
      </w:pPr>
      <w:rPr>
        <w:rFonts w:cs="Times New Roman"/>
      </w:rPr>
    </w:lvl>
    <w:lvl w:ilvl="5" w:tplc="0409001B" w:tentative="1">
      <w:start w:val="1"/>
      <w:numFmt w:val="lowerRoman"/>
      <w:lvlText w:val="%6."/>
      <w:lvlJc w:val="right"/>
      <w:pPr>
        <w:ind w:left="3359" w:hanging="480"/>
      </w:pPr>
      <w:rPr>
        <w:rFonts w:cs="Times New Roman"/>
      </w:rPr>
    </w:lvl>
    <w:lvl w:ilvl="6" w:tplc="0409000F" w:tentative="1">
      <w:start w:val="1"/>
      <w:numFmt w:val="decimal"/>
      <w:lvlText w:val="%7."/>
      <w:lvlJc w:val="left"/>
      <w:pPr>
        <w:ind w:left="3839" w:hanging="480"/>
      </w:pPr>
      <w:rPr>
        <w:rFonts w:cs="Times New Roman"/>
      </w:rPr>
    </w:lvl>
    <w:lvl w:ilvl="7" w:tplc="04090019" w:tentative="1">
      <w:start w:val="1"/>
      <w:numFmt w:val="ideographTraditional"/>
      <w:lvlText w:val="%8、"/>
      <w:lvlJc w:val="left"/>
      <w:pPr>
        <w:ind w:left="4319" w:hanging="480"/>
      </w:pPr>
      <w:rPr>
        <w:rFonts w:cs="Times New Roman"/>
      </w:rPr>
    </w:lvl>
    <w:lvl w:ilvl="8" w:tplc="0409001B" w:tentative="1">
      <w:start w:val="1"/>
      <w:numFmt w:val="lowerRoman"/>
      <w:lvlText w:val="%9."/>
      <w:lvlJc w:val="right"/>
      <w:pPr>
        <w:ind w:left="4799" w:hanging="480"/>
      </w:pPr>
      <w:rPr>
        <w:rFonts w:cs="Times New Roman"/>
      </w:rPr>
    </w:lvl>
  </w:abstractNum>
  <w:abstractNum w:abstractNumId="5">
    <w:nsid w:val="4580799C"/>
    <w:multiLevelType w:val="hybridMultilevel"/>
    <w:tmpl w:val="987A2AAE"/>
    <w:lvl w:ilvl="0" w:tplc="5606A2B0">
      <w:start w:val="1"/>
      <w:numFmt w:val="taiwaneseCountingThousand"/>
      <w:lvlText w:val="(%1)"/>
      <w:lvlJc w:val="left"/>
      <w:pPr>
        <w:ind w:left="420" w:hanging="480"/>
      </w:pPr>
      <w:rPr>
        <w:rFonts w:ascii="Calibri" w:hAnsi="Calibri" w:cs="Times New Roman" w:hint="default"/>
        <w:b w:val="0"/>
        <w:i w:val="0"/>
        <w:color w:val="000000"/>
        <w:sz w:val="28"/>
      </w:rPr>
    </w:lvl>
    <w:lvl w:ilvl="1" w:tplc="04090019" w:tentative="1">
      <w:start w:val="1"/>
      <w:numFmt w:val="ideographTraditional"/>
      <w:lvlText w:val="%2、"/>
      <w:lvlJc w:val="left"/>
      <w:pPr>
        <w:ind w:left="900" w:hanging="480"/>
      </w:pPr>
      <w:rPr>
        <w:rFonts w:cs="Times New Roman"/>
      </w:rPr>
    </w:lvl>
    <w:lvl w:ilvl="2" w:tplc="0409001B" w:tentative="1">
      <w:start w:val="1"/>
      <w:numFmt w:val="lowerRoman"/>
      <w:lvlText w:val="%3."/>
      <w:lvlJc w:val="right"/>
      <w:pPr>
        <w:ind w:left="1380" w:hanging="480"/>
      </w:pPr>
      <w:rPr>
        <w:rFonts w:cs="Times New Roman"/>
      </w:rPr>
    </w:lvl>
    <w:lvl w:ilvl="3" w:tplc="0409000F" w:tentative="1">
      <w:start w:val="1"/>
      <w:numFmt w:val="decimal"/>
      <w:lvlText w:val="%4."/>
      <w:lvlJc w:val="left"/>
      <w:pPr>
        <w:ind w:left="1860" w:hanging="480"/>
      </w:pPr>
      <w:rPr>
        <w:rFonts w:cs="Times New Roman"/>
      </w:rPr>
    </w:lvl>
    <w:lvl w:ilvl="4" w:tplc="04090019" w:tentative="1">
      <w:start w:val="1"/>
      <w:numFmt w:val="ideographTraditional"/>
      <w:lvlText w:val="%5、"/>
      <w:lvlJc w:val="left"/>
      <w:pPr>
        <w:ind w:left="2340" w:hanging="480"/>
      </w:pPr>
      <w:rPr>
        <w:rFonts w:cs="Times New Roman"/>
      </w:rPr>
    </w:lvl>
    <w:lvl w:ilvl="5" w:tplc="0409001B" w:tentative="1">
      <w:start w:val="1"/>
      <w:numFmt w:val="lowerRoman"/>
      <w:lvlText w:val="%6."/>
      <w:lvlJc w:val="right"/>
      <w:pPr>
        <w:ind w:left="2820" w:hanging="480"/>
      </w:pPr>
      <w:rPr>
        <w:rFonts w:cs="Times New Roman"/>
      </w:rPr>
    </w:lvl>
    <w:lvl w:ilvl="6" w:tplc="0409000F" w:tentative="1">
      <w:start w:val="1"/>
      <w:numFmt w:val="decimal"/>
      <w:lvlText w:val="%7."/>
      <w:lvlJc w:val="left"/>
      <w:pPr>
        <w:ind w:left="3300" w:hanging="480"/>
      </w:pPr>
      <w:rPr>
        <w:rFonts w:cs="Times New Roman"/>
      </w:rPr>
    </w:lvl>
    <w:lvl w:ilvl="7" w:tplc="04090019" w:tentative="1">
      <w:start w:val="1"/>
      <w:numFmt w:val="ideographTraditional"/>
      <w:lvlText w:val="%8、"/>
      <w:lvlJc w:val="left"/>
      <w:pPr>
        <w:ind w:left="3780" w:hanging="480"/>
      </w:pPr>
      <w:rPr>
        <w:rFonts w:cs="Times New Roman"/>
      </w:rPr>
    </w:lvl>
    <w:lvl w:ilvl="8" w:tplc="0409001B" w:tentative="1">
      <w:start w:val="1"/>
      <w:numFmt w:val="lowerRoman"/>
      <w:lvlText w:val="%9."/>
      <w:lvlJc w:val="right"/>
      <w:pPr>
        <w:ind w:left="4260" w:hanging="480"/>
      </w:pPr>
      <w:rPr>
        <w:rFonts w:cs="Times New Roman"/>
      </w:rPr>
    </w:lvl>
  </w:abstractNum>
  <w:abstractNum w:abstractNumId="6">
    <w:nsid w:val="471E7E2E"/>
    <w:multiLevelType w:val="hybridMultilevel"/>
    <w:tmpl w:val="28DE59E0"/>
    <w:lvl w:ilvl="0" w:tplc="9118B2E8">
      <w:start w:val="1"/>
      <w:numFmt w:val="taiwaneseCountingThousand"/>
      <w:lvlText w:val="%1、"/>
      <w:lvlJc w:val="left"/>
      <w:pPr>
        <w:ind w:left="480" w:hanging="480"/>
      </w:pPr>
      <w:rPr>
        <w:rFonts w:eastAsia="標楷體" w:cs="Times New Roman" w:hint="eastAsia"/>
        <w:b/>
        <w:i w:val="0"/>
        <w:sz w:val="28"/>
      </w:rPr>
    </w:lvl>
    <w:lvl w:ilvl="1" w:tplc="04090019" w:tentative="1">
      <w:start w:val="1"/>
      <w:numFmt w:val="ideographTraditional"/>
      <w:lvlText w:val="%2、"/>
      <w:lvlJc w:val="left"/>
      <w:pPr>
        <w:ind w:left="900" w:hanging="480"/>
      </w:pPr>
      <w:rPr>
        <w:rFonts w:cs="Times New Roman"/>
      </w:rPr>
    </w:lvl>
    <w:lvl w:ilvl="2" w:tplc="0409001B" w:tentative="1">
      <w:start w:val="1"/>
      <w:numFmt w:val="lowerRoman"/>
      <w:lvlText w:val="%3."/>
      <w:lvlJc w:val="right"/>
      <w:pPr>
        <w:ind w:left="1380" w:hanging="480"/>
      </w:pPr>
      <w:rPr>
        <w:rFonts w:cs="Times New Roman"/>
      </w:rPr>
    </w:lvl>
    <w:lvl w:ilvl="3" w:tplc="0409000F" w:tentative="1">
      <w:start w:val="1"/>
      <w:numFmt w:val="decimal"/>
      <w:lvlText w:val="%4."/>
      <w:lvlJc w:val="left"/>
      <w:pPr>
        <w:ind w:left="1860" w:hanging="480"/>
      </w:pPr>
      <w:rPr>
        <w:rFonts w:cs="Times New Roman"/>
      </w:rPr>
    </w:lvl>
    <w:lvl w:ilvl="4" w:tplc="04090019" w:tentative="1">
      <w:start w:val="1"/>
      <w:numFmt w:val="ideographTraditional"/>
      <w:lvlText w:val="%5、"/>
      <w:lvlJc w:val="left"/>
      <w:pPr>
        <w:ind w:left="2340" w:hanging="480"/>
      </w:pPr>
      <w:rPr>
        <w:rFonts w:cs="Times New Roman"/>
      </w:rPr>
    </w:lvl>
    <w:lvl w:ilvl="5" w:tplc="0409001B" w:tentative="1">
      <w:start w:val="1"/>
      <w:numFmt w:val="lowerRoman"/>
      <w:lvlText w:val="%6."/>
      <w:lvlJc w:val="right"/>
      <w:pPr>
        <w:ind w:left="2820" w:hanging="480"/>
      </w:pPr>
      <w:rPr>
        <w:rFonts w:cs="Times New Roman"/>
      </w:rPr>
    </w:lvl>
    <w:lvl w:ilvl="6" w:tplc="0409000F" w:tentative="1">
      <w:start w:val="1"/>
      <w:numFmt w:val="decimal"/>
      <w:lvlText w:val="%7."/>
      <w:lvlJc w:val="left"/>
      <w:pPr>
        <w:ind w:left="3300" w:hanging="480"/>
      </w:pPr>
      <w:rPr>
        <w:rFonts w:cs="Times New Roman"/>
      </w:rPr>
    </w:lvl>
    <w:lvl w:ilvl="7" w:tplc="04090019" w:tentative="1">
      <w:start w:val="1"/>
      <w:numFmt w:val="ideographTraditional"/>
      <w:lvlText w:val="%8、"/>
      <w:lvlJc w:val="left"/>
      <w:pPr>
        <w:ind w:left="3780" w:hanging="480"/>
      </w:pPr>
      <w:rPr>
        <w:rFonts w:cs="Times New Roman"/>
      </w:rPr>
    </w:lvl>
    <w:lvl w:ilvl="8" w:tplc="0409001B" w:tentative="1">
      <w:start w:val="1"/>
      <w:numFmt w:val="lowerRoman"/>
      <w:lvlText w:val="%9."/>
      <w:lvlJc w:val="right"/>
      <w:pPr>
        <w:ind w:left="4260" w:hanging="480"/>
      </w:pPr>
      <w:rPr>
        <w:rFonts w:cs="Times New Roman"/>
      </w:rPr>
    </w:lvl>
  </w:abstractNum>
  <w:abstractNum w:abstractNumId="7">
    <w:nsid w:val="6BFB5AA7"/>
    <w:multiLevelType w:val="hybridMultilevel"/>
    <w:tmpl w:val="C6DA4860"/>
    <w:lvl w:ilvl="0" w:tplc="973A07E2">
      <w:start w:val="1"/>
      <w:numFmt w:val="decimal"/>
      <w:lvlText w:val="%1."/>
      <w:lvlJc w:val="left"/>
      <w:pPr>
        <w:ind w:left="720" w:hanging="720"/>
      </w:pPr>
      <w:rPr>
        <w:rFonts w:ascii="Times New Roman" w:eastAsia="標楷體" w:hAnsi="Times New Roman" w:cs="Times New Roman" w:hint="default"/>
        <w:b/>
        <w:i w:val="0"/>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730F606D"/>
    <w:multiLevelType w:val="hybridMultilevel"/>
    <w:tmpl w:val="801E936A"/>
    <w:lvl w:ilvl="0" w:tplc="B0369390">
      <w:start w:val="1"/>
      <w:numFmt w:val="taiwaneseCountingThousand"/>
      <w:lvlText w:val="（%1）"/>
      <w:lvlJc w:val="left"/>
      <w:pPr>
        <w:ind w:left="478" w:hanging="480"/>
      </w:pPr>
      <w:rPr>
        <w:rFonts w:eastAsia="標楷體" w:cs="Times New Roman" w:hint="eastAsia"/>
        <w:b w:val="0"/>
        <w:i w:val="0"/>
        <w:color w:val="000000"/>
        <w:sz w:val="28"/>
      </w:rPr>
    </w:lvl>
    <w:lvl w:ilvl="1" w:tplc="B5A4E2AC">
      <w:start w:val="1"/>
      <w:numFmt w:val="taiwaneseCountingThousand"/>
      <w:lvlText w:val="(%2)"/>
      <w:lvlJc w:val="left"/>
      <w:pPr>
        <w:ind w:left="958" w:hanging="480"/>
      </w:pPr>
      <w:rPr>
        <w:rFonts w:cs="Times New Roman" w:hint="eastAsia"/>
      </w:rPr>
    </w:lvl>
    <w:lvl w:ilvl="2" w:tplc="0409001B" w:tentative="1">
      <w:start w:val="1"/>
      <w:numFmt w:val="lowerRoman"/>
      <w:lvlText w:val="%3."/>
      <w:lvlJc w:val="right"/>
      <w:pPr>
        <w:ind w:left="1438" w:hanging="480"/>
      </w:pPr>
      <w:rPr>
        <w:rFonts w:cs="Times New Roman"/>
      </w:rPr>
    </w:lvl>
    <w:lvl w:ilvl="3" w:tplc="0409000F" w:tentative="1">
      <w:start w:val="1"/>
      <w:numFmt w:val="decimal"/>
      <w:lvlText w:val="%4."/>
      <w:lvlJc w:val="left"/>
      <w:pPr>
        <w:ind w:left="1918" w:hanging="480"/>
      </w:pPr>
      <w:rPr>
        <w:rFonts w:cs="Times New Roman"/>
      </w:rPr>
    </w:lvl>
    <w:lvl w:ilvl="4" w:tplc="04090019" w:tentative="1">
      <w:start w:val="1"/>
      <w:numFmt w:val="ideographTraditional"/>
      <w:lvlText w:val="%5、"/>
      <w:lvlJc w:val="left"/>
      <w:pPr>
        <w:ind w:left="2398" w:hanging="480"/>
      </w:pPr>
      <w:rPr>
        <w:rFonts w:cs="Times New Roman"/>
      </w:rPr>
    </w:lvl>
    <w:lvl w:ilvl="5" w:tplc="0409001B" w:tentative="1">
      <w:start w:val="1"/>
      <w:numFmt w:val="lowerRoman"/>
      <w:lvlText w:val="%6."/>
      <w:lvlJc w:val="right"/>
      <w:pPr>
        <w:ind w:left="2878" w:hanging="480"/>
      </w:pPr>
      <w:rPr>
        <w:rFonts w:cs="Times New Roman"/>
      </w:rPr>
    </w:lvl>
    <w:lvl w:ilvl="6" w:tplc="0409000F" w:tentative="1">
      <w:start w:val="1"/>
      <w:numFmt w:val="decimal"/>
      <w:lvlText w:val="%7."/>
      <w:lvlJc w:val="left"/>
      <w:pPr>
        <w:ind w:left="3358" w:hanging="480"/>
      </w:pPr>
      <w:rPr>
        <w:rFonts w:cs="Times New Roman"/>
      </w:rPr>
    </w:lvl>
    <w:lvl w:ilvl="7" w:tplc="04090019" w:tentative="1">
      <w:start w:val="1"/>
      <w:numFmt w:val="ideographTraditional"/>
      <w:lvlText w:val="%8、"/>
      <w:lvlJc w:val="left"/>
      <w:pPr>
        <w:ind w:left="3838" w:hanging="480"/>
      </w:pPr>
      <w:rPr>
        <w:rFonts w:cs="Times New Roman"/>
      </w:rPr>
    </w:lvl>
    <w:lvl w:ilvl="8" w:tplc="0409001B" w:tentative="1">
      <w:start w:val="1"/>
      <w:numFmt w:val="lowerRoman"/>
      <w:lvlText w:val="%9."/>
      <w:lvlJc w:val="right"/>
      <w:pPr>
        <w:ind w:left="4318" w:hanging="480"/>
      </w:pPr>
      <w:rPr>
        <w:rFonts w:cs="Times New Roman"/>
      </w:rPr>
    </w:lvl>
  </w:abstractNum>
  <w:abstractNum w:abstractNumId="9">
    <w:nsid w:val="7F71778E"/>
    <w:multiLevelType w:val="hybridMultilevel"/>
    <w:tmpl w:val="4EF0C2BC"/>
    <w:lvl w:ilvl="0" w:tplc="5606A2B0">
      <w:start w:val="1"/>
      <w:numFmt w:val="taiwaneseCountingThousand"/>
      <w:lvlText w:val="(%1)"/>
      <w:lvlJc w:val="left"/>
      <w:pPr>
        <w:ind w:left="718" w:hanging="720"/>
      </w:pPr>
      <w:rPr>
        <w:rFonts w:ascii="Calibri" w:hAnsi="Calibri" w:cs="Times New Roman" w:hint="default"/>
      </w:rPr>
    </w:lvl>
    <w:lvl w:ilvl="1" w:tplc="04090019" w:tentative="1">
      <w:start w:val="1"/>
      <w:numFmt w:val="ideographTraditional"/>
      <w:lvlText w:val="%2、"/>
      <w:lvlJc w:val="left"/>
      <w:pPr>
        <w:ind w:left="958" w:hanging="480"/>
      </w:pPr>
      <w:rPr>
        <w:rFonts w:cs="Times New Roman"/>
      </w:rPr>
    </w:lvl>
    <w:lvl w:ilvl="2" w:tplc="0409001B" w:tentative="1">
      <w:start w:val="1"/>
      <w:numFmt w:val="lowerRoman"/>
      <w:lvlText w:val="%3."/>
      <w:lvlJc w:val="right"/>
      <w:pPr>
        <w:ind w:left="1438" w:hanging="480"/>
      </w:pPr>
      <w:rPr>
        <w:rFonts w:cs="Times New Roman"/>
      </w:rPr>
    </w:lvl>
    <w:lvl w:ilvl="3" w:tplc="0409000F" w:tentative="1">
      <w:start w:val="1"/>
      <w:numFmt w:val="decimal"/>
      <w:lvlText w:val="%4."/>
      <w:lvlJc w:val="left"/>
      <w:pPr>
        <w:ind w:left="1918" w:hanging="480"/>
      </w:pPr>
      <w:rPr>
        <w:rFonts w:cs="Times New Roman"/>
      </w:rPr>
    </w:lvl>
    <w:lvl w:ilvl="4" w:tplc="04090019" w:tentative="1">
      <w:start w:val="1"/>
      <w:numFmt w:val="ideographTraditional"/>
      <w:lvlText w:val="%5、"/>
      <w:lvlJc w:val="left"/>
      <w:pPr>
        <w:ind w:left="2398" w:hanging="480"/>
      </w:pPr>
      <w:rPr>
        <w:rFonts w:cs="Times New Roman"/>
      </w:rPr>
    </w:lvl>
    <w:lvl w:ilvl="5" w:tplc="0409001B" w:tentative="1">
      <w:start w:val="1"/>
      <w:numFmt w:val="lowerRoman"/>
      <w:lvlText w:val="%6."/>
      <w:lvlJc w:val="right"/>
      <w:pPr>
        <w:ind w:left="2878" w:hanging="480"/>
      </w:pPr>
      <w:rPr>
        <w:rFonts w:cs="Times New Roman"/>
      </w:rPr>
    </w:lvl>
    <w:lvl w:ilvl="6" w:tplc="0409000F" w:tentative="1">
      <w:start w:val="1"/>
      <w:numFmt w:val="decimal"/>
      <w:lvlText w:val="%7."/>
      <w:lvlJc w:val="left"/>
      <w:pPr>
        <w:ind w:left="3358" w:hanging="480"/>
      </w:pPr>
      <w:rPr>
        <w:rFonts w:cs="Times New Roman"/>
      </w:rPr>
    </w:lvl>
    <w:lvl w:ilvl="7" w:tplc="04090019" w:tentative="1">
      <w:start w:val="1"/>
      <w:numFmt w:val="ideographTraditional"/>
      <w:lvlText w:val="%8、"/>
      <w:lvlJc w:val="left"/>
      <w:pPr>
        <w:ind w:left="3838" w:hanging="480"/>
      </w:pPr>
      <w:rPr>
        <w:rFonts w:cs="Times New Roman"/>
      </w:rPr>
    </w:lvl>
    <w:lvl w:ilvl="8" w:tplc="0409001B" w:tentative="1">
      <w:start w:val="1"/>
      <w:numFmt w:val="lowerRoman"/>
      <w:lvlText w:val="%9."/>
      <w:lvlJc w:val="right"/>
      <w:pPr>
        <w:ind w:left="4318" w:hanging="480"/>
      </w:pPr>
      <w:rPr>
        <w:rFonts w:cs="Times New Roman"/>
      </w:rPr>
    </w:lvl>
  </w:abstractNum>
  <w:num w:numId="1">
    <w:abstractNumId w:val="4"/>
  </w:num>
  <w:num w:numId="2">
    <w:abstractNumId w:val="8"/>
  </w:num>
  <w:num w:numId="3">
    <w:abstractNumId w:val="0"/>
  </w:num>
  <w:num w:numId="4">
    <w:abstractNumId w:val="7"/>
  </w:num>
  <w:num w:numId="5">
    <w:abstractNumId w:val="9"/>
  </w:num>
  <w:num w:numId="6">
    <w:abstractNumId w:val="1"/>
  </w:num>
  <w:num w:numId="7">
    <w:abstractNumId w:val="6"/>
  </w:num>
  <w:num w:numId="8">
    <w:abstractNumId w:val="3"/>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779F"/>
    <w:rsid w:val="002011AE"/>
    <w:rsid w:val="00234CE4"/>
    <w:rsid w:val="00236603"/>
    <w:rsid w:val="0026779F"/>
    <w:rsid w:val="002D0B56"/>
    <w:rsid w:val="00381601"/>
    <w:rsid w:val="003B5CB5"/>
    <w:rsid w:val="005C1795"/>
    <w:rsid w:val="00626834"/>
    <w:rsid w:val="006622C0"/>
    <w:rsid w:val="00737901"/>
    <w:rsid w:val="00974314"/>
    <w:rsid w:val="00AB3A9B"/>
    <w:rsid w:val="00AD6A14"/>
    <w:rsid w:val="00B01469"/>
    <w:rsid w:val="00BC374A"/>
    <w:rsid w:val="00CF4006"/>
    <w:rsid w:val="00D20D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01"/>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0DC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D20DC7"/>
    <w:rPr>
      <w:rFonts w:cs="Times New Roman"/>
      <w:sz w:val="20"/>
      <w:szCs w:val="20"/>
    </w:rPr>
  </w:style>
  <w:style w:type="paragraph" w:styleId="Footer">
    <w:name w:val="footer"/>
    <w:basedOn w:val="Normal"/>
    <w:link w:val="FooterChar"/>
    <w:uiPriority w:val="99"/>
    <w:rsid w:val="00D20DC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D20DC7"/>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612</Words>
  <Characters>3495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政府各部門相關家庭教育之政策、方案及計畫</dc:title>
  <dc:subject/>
  <dc:creator>user</dc:creator>
  <cp:keywords/>
  <dc:description/>
  <cp:lastModifiedBy>user</cp:lastModifiedBy>
  <cp:revision>2</cp:revision>
  <cp:lastPrinted>2015-01-26T06:22:00Z</cp:lastPrinted>
  <dcterms:created xsi:type="dcterms:W3CDTF">2015-01-26T07:45:00Z</dcterms:created>
  <dcterms:modified xsi:type="dcterms:W3CDTF">2015-01-26T07:45:00Z</dcterms:modified>
</cp:coreProperties>
</file>